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ind w:left="5000"/>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161290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 UNDER</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May 2026</w:t>
      </w:r>
    </w:p>
    <w:p>
      <w:pPr>
        <w:spacing w:after="0" w:line="225" w:lineRule="exact"/>
        <w:rPr>
          <w:sz w:val="24"/>
          <w:szCs w:val="24"/>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Commission file number: 001-42648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41"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25"/>
          <w:szCs w:val="25"/>
          <w:b w:val="1"/>
          <w:bCs w:val="1"/>
          <w:color w:val="auto"/>
        </w:rPr>
        <w:t>K WAVE MEDIA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161290</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5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c/o Maples Corporate Services Limited</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PO Box 309, Ugland House</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Grand Cayman, KY1-1104</w:t>
      </w:r>
    </w:p>
    <w:p>
      <w:pPr>
        <w:spacing w:after="0" w:line="9" w:lineRule="exact"/>
        <w:rPr>
          <w:sz w:val="24"/>
          <w:szCs w:val="24"/>
          <w:color w:val="auto"/>
        </w:rPr>
      </w:pPr>
    </w:p>
    <w:p>
      <w:pPr>
        <w:ind w:left="5000"/>
        <w:spacing w:after="0"/>
        <w:rPr>
          <w:sz w:val="20"/>
          <w:szCs w:val="20"/>
          <w:color w:val="auto"/>
        </w:rPr>
      </w:pPr>
      <w:r>
        <w:rPr>
          <w:rFonts w:ascii="Times New Roman" w:cs="Times New Roman" w:eastAsia="Times New Roman" w:hAnsi="Times New Roman"/>
          <w:sz w:val="18"/>
          <w:szCs w:val="18"/>
          <w:b w:val="1"/>
          <w:bCs w:val="1"/>
          <w:color w:val="auto"/>
        </w:rPr>
        <w:t>Cayman Islands</w:t>
      </w:r>
    </w:p>
    <w:p>
      <w:pPr>
        <w:spacing w:after="0" w:line="9" w:lineRule="exact"/>
        <w:rPr>
          <w:sz w:val="24"/>
          <w:szCs w:val="24"/>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(703) 790-0717</w:t>
      </w:r>
    </w:p>
    <w:p>
      <w:pPr>
        <w:spacing w:after="0" w:line="9" w:lineRule="exact"/>
        <w:rPr>
          <w:sz w:val="24"/>
          <w:szCs w:val="24"/>
          <w:color w:val="auto"/>
        </w:rPr>
      </w:pPr>
    </w:p>
    <w:p>
      <w:pPr>
        <w:ind w:left="416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Form 20-F or Form 40-F.</w:t>
      </w:r>
    </w:p>
    <w:p>
      <w:pPr>
        <w:spacing w:after="0" w:line="196" w:lineRule="exact"/>
        <w:rPr>
          <w:sz w:val="24"/>
          <w:szCs w:val="24"/>
          <w:color w:val="auto"/>
        </w:rPr>
      </w:pPr>
    </w:p>
    <w:p>
      <w:pPr>
        <w:ind w:left="4520"/>
        <w:spacing w:after="0" w:line="207" w:lineRule="exact"/>
        <w:tabs>
          <w:tab w:leader="none" w:pos="572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566420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725"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previously disclosed, on December 19, 2025, Playverse Co. Ltd. (“Playverse”), an indirect wholly owned subsidiary of K Wave Media Ltd. (the “Company”), entered into a Share Purchase Agreement (the “Hansol Purchase Agreement”) with Hansol Holdings Co., Ltd. (“Hansol Holdings”), Lee Mi-sung and Cho Hyun-seung (collectively, the “Hansol Sellers”), pursuant to which Playverse agreed to purchase from the Hansol Sellers and the Hansol Sellers agreed to sell to Playverse an aggregate of 5,864,088 shares common stock (the “Hansol Shares”) of Hansol Inticube Co., an AI language and software development company with core capabilities in AI contact center solutions, voice recognition, chatbots, smart solutions and platform technologies (“Hansol”).</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March 10, 2026, Playverse consummated the purchase of the Hansol Shares pursuant to the terms and conditions of the Hansol Purchase Agreement.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Hansol Shares represent approximately 42.25% of the outstanding shares of common stock of Hansol.</w:t>
      </w:r>
    </w:p>
    <w:p>
      <w:pPr>
        <w:spacing w:after="0" w:line="20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Pursuant to the Hansol Purchase Agreement, the aggregate purchase price for the Hansol Shares was KRW15,000,337,104. The Hansol Purchase Agreement contained customary representations, warranties and covenants by the parties and customary indemnification obligations of the parties.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the Hansol Purchase Agreement, Hansol Holdings caused Hansol to convene an annual general meeting of Hansol’s shareholders for the purpose of electing individuals designated by the Company to serve as members of the Hansol board of directors, and such Company designees now hold a majority of the seats on the Hansol board of directors.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Filed herewith as Exhibit 99.1 are the audited financial statements of Hansol for the year ended December 31, 2025. Additionally, filed herewith as Exhibit 99.2 is unaudited pro forma condensed combined balance sheet information regarding the Company and Hansol as of December 31, 2025, and unaudited pro forma condensed combined statements of operation for the year ended December 31, 2025.</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included in this Form 6-K is presented for illustrative purposes only, contains a variety of adjustments, assumptions and estimates, and is not necessarily indicative of what the combined company’s actual financial position or results of operations would have been had the transactions been completed on the date indicated. The combined company’s actual results and financial position may differ materially and adversely from the unaudited pro forma condensed combined financial information included in this Form 6-K. Important factors that may affect actual results include, but are not limited to, risks and uncertainties relating Hansol’s or the Company’s business, as applicable (including each company’s ability to achieve strategic goals, objectives, and targets over applicable periods), industry performance, and general business and economic conditions.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Form 6-K includes forward-looking statements that involve risks and uncertainties. Forward-looking statements are statements that are not historical facts. Such forward-looking statements are subject to risks and uncertainties, which could cause actual results to differ from the forward-looking statements, including those set forth in any subsequent filings with the U.S. Securities and Exchange Commission (the “SEC”). Copies of the Company’s filings with the SEC are available on the SEC’s website, www.sec.gov. The Company expressly disclaims any obligations or undertaking to release publicly any updates or revisions to any forward-looking statements to reflect any change in the Company’s expectations or any change in events, conditions or circumstances on which any statement is based.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1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190"/>
        </w:trPr>
        <w:tc>
          <w:tcPr>
            <w:tcW w:w="1020" w:type="dxa"/>
            <w:vAlign w:val="bottom"/>
            <w:tcBorders>
              <w:top w:val="single" w:sz="8" w:color="auto"/>
              <w:bottom w:val="single" w:sz="8" w:color="CCEEFF"/>
            </w:tcBorders>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6560" w:type="dxa"/>
            <w:vAlign w:val="bottom"/>
            <w:tcBorders>
              <w:top w:val="single" w:sz="8" w:color="auto"/>
              <w:bottom w:val="single" w:sz="8" w:color="0000EE"/>
            </w:tcBorders>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0000EE"/>
                <w:w w:val="99"/>
              </w:rPr>
              <w:t>Audited financial statements of Hansol Inticube Co. for the year ended December 31, 2025</w:t>
            </w:r>
          </w:p>
        </w:tc>
        <w:tc>
          <w:tcPr>
            <w:tcW w:w="3540" w:type="dxa"/>
            <w:vAlign w:val="bottom"/>
            <w:tcBorders>
              <w:top w:val="single" w:sz="8" w:color="auto"/>
              <w:bottom w:val="single" w:sz="8" w:color="CCEEFF"/>
            </w:tcBorders>
            <w:gridSpan w:val="2"/>
            <w:shd w:val="clear" w:color="auto" w:fill="CCEEFF"/>
          </w:tcPr>
          <w:p>
            <w:pPr>
              <w:spacing w:after="0"/>
              <w:rPr>
                <w:sz w:val="16"/>
                <w:szCs w:val="16"/>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99.2</w:t>
            </w:r>
          </w:p>
        </w:tc>
        <w:tc>
          <w:tcPr>
            <w:tcW w:w="120" w:type="dxa"/>
            <w:vAlign w:val="bottom"/>
          </w:tcPr>
          <w:p>
            <w:pPr>
              <w:spacing w:after="0"/>
              <w:rPr>
                <w:sz w:val="15"/>
                <w:szCs w:val="15"/>
                <w:color w:val="auto"/>
              </w:rPr>
            </w:pPr>
          </w:p>
        </w:tc>
        <w:tc>
          <w:tcPr>
            <w:tcW w:w="10100" w:type="dxa"/>
            <w:vAlign w:val="bottom"/>
            <w:tcBorders>
              <w:bottom w:val="single" w:sz="8" w:color="0000EE"/>
            </w:tcBorders>
            <w:gridSpan w:val="3"/>
          </w:tcPr>
          <w:p>
            <w:pPr>
              <w:spacing w:after="0" w:line="176" w:lineRule="exact"/>
              <w:rPr>
                <w:sz w:val="20"/>
                <w:szCs w:val="20"/>
                <w:color w:val="auto"/>
              </w:rPr>
            </w:pPr>
            <w:r>
              <w:rPr>
                <w:rFonts w:ascii="Times New Roman" w:cs="Times New Roman" w:eastAsia="Times New Roman" w:hAnsi="Times New Roman"/>
                <w:sz w:val="18"/>
                <w:szCs w:val="18"/>
                <w:color w:val="0000EE"/>
              </w:rPr>
              <w:t>Unaudited pro forma condensed combined balance sheet of the Company and Hansol Inticube Co. as of December 31, 2025, and unaudited</w:t>
            </w: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pro forma condensed combined statements of operation of the Company and Hansol Inticube Co. for the year ended December 31, 2025.</w:t>
            </w:r>
          </w:p>
        </w:tc>
      </w:tr>
      <w:tr>
        <w:trPr>
          <w:trHeight w:val="581"/>
        </w:trPr>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560" w:type="dxa"/>
            <w:vAlign w:val="bottom"/>
            <w:tcBorders>
              <w:top w:val="single" w:sz="8" w:color="0000EE"/>
              <w:bottom w:val="single" w:sz="8" w:color="auto"/>
            </w:tcBorders>
          </w:tcPr>
          <w:p>
            <w:pPr>
              <w:ind w:left="4440"/>
              <w:spacing w:after="0"/>
              <w:rPr>
                <w:sz w:val="20"/>
                <w:szCs w:val="20"/>
                <w:color w:val="auto"/>
              </w:rPr>
            </w:pPr>
            <w:r>
              <w:rPr>
                <w:rFonts w:ascii="Times New Roman" w:cs="Times New Roman" w:eastAsia="Times New Roman" w:hAnsi="Times New Roman"/>
                <w:sz w:val="18"/>
                <w:szCs w:val="18"/>
                <w:color w:val="auto"/>
              </w:rPr>
              <w:t>1</w:t>
            </w:r>
          </w:p>
        </w:tc>
        <w:tc>
          <w:tcPr>
            <w:tcW w:w="3300" w:type="dxa"/>
            <w:vAlign w:val="bottom"/>
            <w:tcBorders>
              <w:top w:val="single" w:sz="8" w:color="0000EE"/>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65"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K Wave Media Ltd.</w:t>
      </w:r>
    </w:p>
    <w:p>
      <w:pPr>
        <w:spacing w:after="0" w:line="229" w:lineRule="exact"/>
        <w:rPr>
          <w:sz w:val="20"/>
          <w:szCs w:val="20"/>
          <w:color w:val="auto"/>
        </w:rPr>
      </w:pPr>
    </w:p>
    <w:p>
      <w:pPr>
        <w:spacing w:after="0"/>
        <w:tabs>
          <w:tab w:leader="none" w:pos="5620" w:val="left"/>
          <w:tab w:leader="none" w:pos="6180" w:val="left"/>
        </w:tabs>
        <w:rPr>
          <w:sz w:val="20"/>
          <w:szCs w:val="20"/>
          <w:color w:val="auto"/>
        </w:rPr>
      </w:pPr>
      <w:r>
        <w:rPr>
          <w:rFonts w:ascii="Times New Roman" w:cs="Times New Roman" w:eastAsia="Times New Roman" w:hAnsi="Times New Roman"/>
          <w:sz w:val="18"/>
          <w:szCs w:val="18"/>
          <w:color w:val="auto"/>
        </w:rPr>
        <w:t>Date: May 22,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Ted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Ted Kim</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83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Exhibit 99.1</w:t>
            </w:r>
          </w:p>
        </w:tc>
        <w:tc>
          <w:tcPr>
            <w:tcW w:w="0" w:type="dxa"/>
            <w:vAlign w:val="bottom"/>
          </w:tcPr>
          <w:p>
            <w:pPr>
              <w:spacing w:after="0"/>
              <w:rPr>
                <w:sz w:val="1"/>
                <w:szCs w:val="1"/>
                <w:color w:val="auto"/>
              </w:rPr>
            </w:pPr>
          </w:p>
        </w:tc>
      </w:tr>
      <w:tr>
        <w:trPr>
          <w:trHeight w:val="432"/>
        </w:trPr>
        <w:tc>
          <w:tcPr>
            <w:tcW w:w="8380" w:type="dxa"/>
            <w:vAlign w:val="bottom"/>
          </w:tcPr>
          <w:p>
            <w:pPr>
              <w:jc w:val="center"/>
              <w:ind w:left="2790"/>
              <w:spacing w:after="0"/>
              <w:rPr>
                <w:sz w:val="20"/>
                <w:szCs w:val="20"/>
                <w:color w:val="auto"/>
              </w:rPr>
            </w:pPr>
            <w:r>
              <w:rPr>
                <w:rFonts w:ascii="Times New Roman" w:cs="Times New Roman" w:eastAsia="Times New Roman" w:hAnsi="Times New Roman"/>
                <w:sz w:val="18"/>
                <w:szCs w:val="18"/>
                <w:b w:val="1"/>
                <w:bCs w:val="1"/>
                <w:color w:val="auto"/>
                <w:w w:val="99"/>
              </w:rPr>
              <w:t>Hansol Inticube Co. Ltd.</w:t>
            </w:r>
          </w:p>
        </w:tc>
        <w:tc>
          <w:tcPr>
            <w:tcW w:w="1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380" w:type="dxa"/>
            <w:vAlign w:val="bottom"/>
          </w:tcPr>
          <w:p>
            <w:pPr>
              <w:jc w:val="center"/>
              <w:ind w:left="2770"/>
              <w:spacing w:after="0"/>
              <w:rPr>
                <w:sz w:val="20"/>
                <w:szCs w:val="20"/>
                <w:color w:val="auto"/>
              </w:rPr>
            </w:pPr>
            <w:r>
              <w:rPr>
                <w:rFonts w:ascii="Times New Roman" w:cs="Times New Roman" w:eastAsia="Times New Roman" w:hAnsi="Times New Roman"/>
                <w:sz w:val="18"/>
                <w:szCs w:val="18"/>
                <w:b w:val="1"/>
                <w:bCs w:val="1"/>
                <w:color w:val="auto"/>
                <w:w w:val="99"/>
              </w:rPr>
              <w:t>CONSOLIDATED STATEMENT OF FINANCIAL POSITION</w:t>
            </w:r>
          </w:p>
        </w:tc>
        <w:tc>
          <w:tcPr>
            <w:tcW w:w="1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380" w:type="dxa"/>
            <w:vAlign w:val="bottom"/>
          </w:tcPr>
          <w:p>
            <w:pPr>
              <w:jc w:val="center"/>
              <w:ind w:left="2790"/>
              <w:spacing w:after="0"/>
              <w:rPr>
                <w:sz w:val="20"/>
                <w:szCs w:val="20"/>
                <w:color w:val="auto"/>
              </w:rPr>
            </w:pPr>
            <w:r>
              <w:rPr>
                <w:rFonts w:ascii="Times New Roman" w:cs="Times New Roman" w:eastAsia="Times New Roman" w:hAnsi="Times New Roman"/>
                <w:sz w:val="18"/>
                <w:szCs w:val="18"/>
                <w:b w:val="1"/>
                <w:bCs w:val="1"/>
                <w:color w:val="auto"/>
              </w:rPr>
              <w:t>As of December 31, 2025</w:t>
            </w:r>
          </w:p>
        </w:tc>
        <w:tc>
          <w:tcPr>
            <w:tcW w:w="1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8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8380" w:type="dxa"/>
            <w:vAlign w:val="bottom"/>
          </w:tcPr>
          <w:p>
            <w:pPr>
              <w:spacing w:after="0"/>
              <w:rPr>
                <w:sz w:val="20"/>
                <w:szCs w:val="20"/>
                <w:color w:val="auto"/>
              </w:rPr>
            </w:pPr>
          </w:p>
        </w:tc>
        <w:tc>
          <w:tcPr>
            <w:tcW w:w="112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Note</w:t>
            </w:r>
          </w:p>
        </w:tc>
        <w:tc>
          <w:tcPr>
            <w:tcW w:w="380" w:type="dxa"/>
            <w:vAlign w:val="bottom"/>
          </w:tcPr>
          <w:p>
            <w:pPr>
              <w:spacing w:after="0"/>
              <w:rPr>
                <w:sz w:val="20"/>
                <w:szCs w:val="20"/>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83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(In Korean</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83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won)</w:t>
            </w:r>
          </w:p>
        </w:tc>
        <w:tc>
          <w:tcPr>
            <w:tcW w:w="0" w:type="dxa"/>
            <w:vAlign w:val="bottom"/>
          </w:tcPr>
          <w:p>
            <w:pPr>
              <w:spacing w:after="0"/>
              <w:rPr>
                <w:sz w:val="1"/>
                <w:szCs w:val="1"/>
                <w:color w:val="auto"/>
              </w:rPr>
            </w:pPr>
          </w:p>
        </w:tc>
      </w:tr>
      <w:tr>
        <w:trPr>
          <w:trHeight w:val="216"/>
        </w:trPr>
        <w:tc>
          <w:tcPr>
            <w:tcW w:w="8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5,34</w:t>
            </w:r>
          </w:p>
        </w:tc>
        <w:tc>
          <w:tcPr>
            <w:tcW w:w="380" w:type="dxa"/>
            <w:vAlign w:val="bottom"/>
          </w:tcPr>
          <w:p>
            <w:pPr>
              <w:ind w:left="1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2,295,358,918</w:t>
            </w:r>
          </w:p>
        </w:tc>
        <w:tc>
          <w:tcPr>
            <w:tcW w:w="0" w:type="dxa"/>
            <w:vAlign w:val="bottom"/>
          </w:tcPr>
          <w:p>
            <w:pPr>
              <w:spacing w:after="0"/>
              <w:rPr>
                <w:sz w:val="1"/>
                <w:szCs w:val="1"/>
                <w:color w:val="auto"/>
              </w:rPr>
            </w:pPr>
          </w:p>
        </w:tc>
      </w:tr>
      <w:tr>
        <w:trPr>
          <w:trHeight w:val="216"/>
        </w:trPr>
        <w:tc>
          <w:tcPr>
            <w:tcW w:w="8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Short-term financial instruments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34</w:t>
            </w:r>
          </w:p>
        </w:tc>
        <w:tc>
          <w:tcPr>
            <w:tcW w:w="3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5,836,575</w:t>
            </w:r>
          </w:p>
        </w:tc>
        <w:tc>
          <w:tcPr>
            <w:tcW w:w="0" w:type="dxa"/>
            <w:vAlign w:val="bottom"/>
          </w:tcPr>
          <w:p>
            <w:pPr>
              <w:spacing w:after="0"/>
              <w:rPr>
                <w:sz w:val="1"/>
                <w:szCs w:val="1"/>
                <w:color w:val="auto"/>
              </w:rPr>
            </w:pPr>
          </w:p>
        </w:tc>
      </w:tr>
      <w:tr>
        <w:trPr>
          <w:trHeight w:val="216"/>
        </w:trPr>
        <w:tc>
          <w:tcPr>
            <w:tcW w:w="8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Trade and other receivables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7,34,35</w:t>
            </w:r>
          </w:p>
        </w:tc>
        <w:tc>
          <w:tcPr>
            <w:tcW w:w="38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11,294,243,542</w:t>
            </w:r>
          </w:p>
        </w:tc>
        <w:tc>
          <w:tcPr>
            <w:tcW w:w="0" w:type="dxa"/>
            <w:vAlign w:val="bottom"/>
          </w:tcPr>
          <w:p>
            <w:pPr>
              <w:spacing w:after="0"/>
              <w:rPr>
                <w:sz w:val="1"/>
                <w:szCs w:val="1"/>
                <w:color w:val="auto"/>
              </w:rPr>
            </w:pPr>
          </w:p>
        </w:tc>
      </w:tr>
      <w:tr>
        <w:trPr>
          <w:trHeight w:val="216"/>
        </w:trPr>
        <w:tc>
          <w:tcPr>
            <w:tcW w:w="8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Contract assets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c>
          <w:tcPr>
            <w:tcW w:w="3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3,815,286,232</w:t>
            </w:r>
          </w:p>
        </w:tc>
        <w:tc>
          <w:tcPr>
            <w:tcW w:w="0" w:type="dxa"/>
            <w:vAlign w:val="bottom"/>
          </w:tcPr>
          <w:p>
            <w:pPr>
              <w:spacing w:after="0"/>
              <w:rPr>
                <w:sz w:val="1"/>
                <w:szCs w:val="1"/>
                <w:color w:val="auto"/>
              </w:rPr>
            </w:pPr>
          </w:p>
        </w:tc>
      </w:tr>
      <w:tr>
        <w:trPr>
          <w:trHeight w:val="216"/>
        </w:trPr>
        <w:tc>
          <w:tcPr>
            <w:tcW w:w="8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Inventories, net</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8</w:t>
            </w:r>
          </w:p>
        </w:tc>
        <w:tc>
          <w:tcPr>
            <w:tcW w:w="38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901,244,164</w:t>
            </w:r>
          </w:p>
        </w:tc>
        <w:tc>
          <w:tcPr>
            <w:tcW w:w="0" w:type="dxa"/>
            <w:vAlign w:val="bottom"/>
          </w:tcPr>
          <w:p>
            <w:pPr>
              <w:spacing w:after="0"/>
              <w:rPr>
                <w:sz w:val="1"/>
                <w:szCs w:val="1"/>
                <w:color w:val="auto"/>
              </w:rPr>
            </w:pPr>
          </w:p>
        </w:tc>
      </w:tr>
      <w:tr>
        <w:trPr>
          <w:trHeight w:val="216"/>
        </w:trPr>
        <w:tc>
          <w:tcPr>
            <w:tcW w:w="8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tax assets</w:t>
            </w:r>
          </w:p>
        </w:tc>
        <w:tc>
          <w:tcPr>
            <w:tcW w:w="1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45,540</w:t>
            </w:r>
          </w:p>
        </w:tc>
        <w:tc>
          <w:tcPr>
            <w:tcW w:w="0" w:type="dxa"/>
            <w:vAlign w:val="bottom"/>
          </w:tcPr>
          <w:p>
            <w:pPr>
              <w:spacing w:after="0"/>
              <w:rPr>
                <w:sz w:val="1"/>
                <w:szCs w:val="1"/>
                <w:color w:val="auto"/>
              </w:rPr>
            </w:pPr>
          </w:p>
        </w:tc>
      </w:tr>
      <w:tr>
        <w:trPr>
          <w:trHeight w:val="216"/>
        </w:trPr>
        <w:tc>
          <w:tcPr>
            <w:tcW w:w="8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current assets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9,15</w:t>
            </w:r>
          </w:p>
        </w:tc>
        <w:tc>
          <w:tcPr>
            <w:tcW w:w="38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4,357,182,863</w:t>
            </w:r>
          </w:p>
        </w:tc>
        <w:tc>
          <w:tcPr>
            <w:tcW w:w="0" w:type="dxa"/>
            <w:vAlign w:val="bottom"/>
          </w:tcPr>
          <w:p>
            <w:pPr>
              <w:spacing w:after="0"/>
              <w:rPr>
                <w:sz w:val="1"/>
                <w:szCs w:val="1"/>
                <w:color w:val="auto"/>
              </w:rPr>
            </w:pPr>
          </w:p>
        </w:tc>
      </w:tr>
      <w:tr>
        <w:trPr>
          <w:trHeight w:val="210"/>
        </w:trPr>
        <w:tc>
          <w:tcPr>
            <w:tcW w:w="838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1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22,669,197,834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Long-term other receivables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7,34</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595,593,357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Financial assets at fair value through profit or loss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6,10,34</w:t>
            </w:r>
          </w:p>
        </w:tc>
        <w:tc>
          <w:tcPr>
            <w:tcW w:w="3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1,005,980,280</w:t>
            </w:r>
          </w:p>
        </w:tc>
        <w:tc>
          <w:tcPr>
            <w:tcW w:w="0" w:type="dxa"/>
            <w:vAlign w:val="bottom"/>
          </w:tcPr>
          <w:p>
            <w:pPr>
              <w:spacing w:after="0"/>
              <w:rPr>
                <w:sz w:val="1"/>
                <w:szCs w:val="1"/>
                <w:color w:val="auto"/>
              </w:rPr>
            </w:pPr>
          </w:p>
        </w:tc>
      </w:tr>
      <w:tr>
        <w:trPr>
          <w:trHeight w:val="216"/>
        </w:trPr>
        <w:tc>
          <w:tcPr>
            <w:tcW w:w="8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Property and equipment</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11</w:t>
            </w:r>
          </w:p>
        </w:tc>
        <w:tc>
          <w:tcPr>
            <w:tcW w:w="38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1,222,485,688</w:t>
            </w:r>
          </w:p>
        </w:tc>
        <w:tc>
          <w:tcPr>
            <w:tcW w:w="0" w:type="dxa"/>
            <w:vAlign w:val="bottom"/>
          </w:tcPr>
          <w:p>
            <w:pPr>
              <w:spacing w:after="0"/>
              <w:rPr>
                <w:sz w:val="1"/>
                <w:szCs w:val="1"/>
                <w:color w:val="auto"/>
              </w:rPr>
            </w:pPr>
          </w:p>
        </w:tc>
      </w:tr>
      <w:tr>
        <w:trPr>
          <w:trHeight w:val="216"/>
        </w:trPr>
        <w:tc>
          <w:tcPr>
            <w:tcW w:w="8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Right-of-use assets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16</w:t>
            </w:r>
          </w:p>
        </w:tc>
        <w:tc>
          <w:tcPr>
            <w:tcW w:w="3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1,043,820,293</w:t>
            </w:r>
          </w:p>
        </w:tc>
        <w:tc>
          <w:tcPr>
            <w:tcW w:w="0" w:type="dxa"/>
            <w:vAlign w:val="bottom"/>
          </w:tcPr>
          <w:p>
            <w:pPr>
              <w:spacing w:after="0"/>
              <w:rPr>
                <w:sz w:val="1"/>
                <w:szCs w:val="1"/>
                <w:color w:val="auto"/>
              </w:rPr>
            </w:pPr>
          </w:p>
        </w:tc>
      </w:tr>
      <w:tr>
        <w:trPr>
          <w:trHeight w:val="216"/>
        </w:trPr>
        <w:tc>
          <w:tcPr>
            <w:tcW w:w="8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Intangible assets other than goodwill</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38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3,761,304,163</w:t>
            </w:r>
          </w:p>
        </w:tc>
        <w:tc>
          <w:tcPr>
            <w:tcW w:w="0" w:type="dxa"/>
            <w:vAlign w:val="bottom"/>
          </w:tcPr>
          <w:p>
            <w:pPr>
              <w:spacing w:after="0"/>
              <w:rPr>
                <w:sz w:val="1"/>
                <w:szCs w:val="1"/>
                <w:color w:val="auto"/>
              </w:rPr>
            </w:pPr>
          </w:p>
        </w:tc>
      </w:tr>
      <w:tr>
        <w:trPr>
          <w:trHeight w:val="216"/>
        </w:trPr>
        <w:tc>
          <w:tcPr>
            <w:tcW w:w="8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tax assets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30</w:t>
            </w:r>
          </w:p>
        </w:tc>
        <w:tc>
          <w:tcPr>
            <w:tcW w:w="3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2,282,215,631</w:t>
            </w:r>
          </w:p>
        </w:tc>
        <w:tc>
          <w:tcPr>
            <w:tcW w:w="0" w:type="dxa"/>
            <w:vAlign w:val="bottom"/>
          </w:tcPr>
          <w:p>
            <w:pPr>
              <w:spacing w:after="0"/>
              <w:rPr>
                <w:sz w:val="1"/>
                <w:szCs w:val="1"/>
                <w:color w:val="auto"/>
              </w:rPr>
            </w:pPr>
          </w:p>
        </w:tc>
      </w:tr>
      <w:tr>
        <w:trPr>
          <w:trHeight w:val="216"/>
        </w:trPr>
        <w:tc>
          <w:tcPr>
            <w:tcW w:w="8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non-current assets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9</w:t>
            </w:r>
          </w:p>
        </w:tc>
        <w:tc>
          <w:tcPr>
            <w:tcW w:w="38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369,646,310</w:t>
            </w:r>
          </w:p>
        </w:tc>
        <w:tc>
          <w:tcPr>
            <w:tcW w:w="0" w:type="dxa"/>
            <w:vAlign w:val="bottom"/>
          </w:tcPr>
          <w:p>
            <w:pPr>
              <w:spacing w:after="0"/>
              <w:rPr>
                <w:sz w:val="1"/>
                <w:szCs w:val="1"/>
                <w:color w:val="auto"/>
              </w:rPr>
            </w:pPr>
          </w:p>
        </w:tc>
      </w:tr>
      <w:tr>
        <w:trPr>
          <w:trHeight w:val="210"/>
        </w:trPr>
        <w:tc>
          <w:tcPr>
            <w:tcW w:w="838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11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10,281,045,722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3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120" w:type="dxa"/>
            <w:vAlign w:val="bottom"/>
            <w:tcBorders>
              <w:bottom w:val="single" w:sz="8" w:color="CCEEFF"/>
            </w:tcBorders>
          </w:tcPr>
          <w:p>
            <w:pPr>
              <w:spacing w:after="0"/>
              <w:rPr>
                <w:sz w:val="21"/>
                <w:szCs w:val="21"/>
                <w:color w:val="auto"/>
              </w:rPr>
            </w:pPr>
          </w:p>
        </w:tc>
        <w:tc>
          <w:tcPr>
            <w:tcW w:w="380" w:type="dxa"/>
            <w:vAlign w:val="bottom"/>
            <w:tcBorders>
              <w:bottom w:val="single" w:sz="8" w:color="CCEEFF"/>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32,950,243,556</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83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1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Trade and other payables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13,34,35</w:t>
            </w:r>
          </w:p>
        </w:tc>
        <w:tc>
          <w:tcPr>
            <w:tcW w:w="38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9,725,481,984</w:t>
            </w:r>
          </w:p>
        </w:tc>
        <w:tc>
          <w:tcPr>
            <w:tcW w:w="0" w:type="dxa"/>
            <w:vAlign w:val="bottom"/>
          </w:tcPr>
          <w:p>
            <w:pPr>
              <w:spacing w:after="0"/>
              <w:rPr>
                <w:sz w:val="1"/>
                <w:szCs w:val="1"/>
                <w:color w:val="auto"/>
              </w:rPr>
            </w:pPr>
          </w:p>
        </w:tc>
      </w:tr>
      <w:tr>
        <w:trPr>
          <w:trHeight w:val="216"/>
        </w:trPr>
        <w:tc>
          <w:tcPr>
            <w:tcW w:w="8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contract liabilities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c>
          <w:tcPr>
            <w:tcW w:w="3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4,719,110,717</w:t>
            </w:r>
          </w:p>
        </w:tc>
        <w:tc>
          <w:tcPr>
            <w:tcW w:w="0" w:type="dxa"/>
            <w:vAlign w:val="bottom"/>
          </w:tcPr>
          <w:p>
            <w:pPr>
              <w:spacing w:after="0"/>
              <w:rPr>
                <w:sz w:val="1"/>
                <w:szCs w:val="1"/>
                <w:color w:val="auto"/>
              </w:rPr>
            </w:pPr>
          </w:p>
        </w:tc>
      </w:tr>
      <w:tr>
        <w:trPr>
          <w:trHeight w:val="216"/>
        </w:trPr>
        <w:tc>
          <w:tcPr>
            <w:tcW w:w="8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Lease liabilities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16,34,36</w:t>
            </w:r>
          </w:p>
        </w:tc>
        <w:tc>
          <w:tcPr>
            <w:tcW w:w="38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769,706,446</w:t>
            </w:r>
          </w:p>
        </w:tc>
        <w:tc>
          <w:tcPr>
            <w:tcW w:w="0" w:type="dxa"/>
            <w:vAlign w:val="bottom"/>
          </w:tcPr>
          <w:p>
            <w:pPr>
              <w:spacing w:after="0"/>
              <w:rPr>
                <w:sz w:val="1"/>
                <w:szCs w:val="1"/>
                <w:color w:val="auto"/>
              </w:rPr>
            </w:pPr>
          </w:p>
        </w:tc>
      </w:tr>
      <w:tr>
        <w:trPr>
          <w:trHeight w:val="216"/>
        </w:trPr>
        <w:tc>
          <w:tcPr>
            <w:tcW w:w="8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current non-financial liabilities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18</w:t>
            </w:r>
          </w:p>
        </w:tc>
        <w:tc>
          <w:tcPr>
            <w:tcW w:w="3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1,456,444,515</w:t>
            </w:r>
          </w:p>
        </w:tc>
        <w:tc>
          <w:tcPr>
            <w:tcW w:w="0" w:type="dxa"/>
            <w:vAlign w:val="bottom"/>
          </w:tcPr>
          <w:p>
            <w:pPr>
              <w:spacing w:after="0"/>
              <w:rPr>
                <w:sz w:val="1"/>
                <w:szCs w:val="1"/>
                <w:color w:val="auto"/>
              </w:rPr>
            </w:pPr>
          </w:p>
        </w:tc>
      </w:tr>
      <w:tr>
        <w:trPr>
          <w:trHeight w:val="216"/>
        </w:trPr>
        <w:tc>
          <w:tcPr>
            <w:tcW w:w="8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current provisions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19</w:t>
            </w:r>
          </w:p>
        </w:tc>
        <w:tc>
          <w:tcPr>
            <w:tcW w:w="38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432,506,512</w:t>
            </w:r>
          </w:p>
        </w:tc>
        <w:tc>
          <w:tcPr>
            <w:tcW w:w="0" w:type="dxa"/>
            <w:vAlign w:val="bottom"/>
          </w:tcPr>
          <w:p>
            <w:pPr>
              <w:spacing w:after="0"/>
              <w:rPr>
                <w:sz w:val="1"/>
                <w:szCs w:val="1"/>
                <w:color w:val="auto"/>
              </w:rPr>
            </w:pPr>
          </w:p>
        </w:tc>
      </w:tr>
      <w:tr>
        <w:trPr>
          <w:trHeight w:val="216"/>
        </w:trPr>
        <w:tc>
          <w:tcPr>
            <w:tcW w:w="8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tax liabilities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30</w:t>
            </w:r>
          </w:p>
        </w:tc>
        <w:tc>
          <w:tcPr>
            <w:tcW w:w="3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1,618,947</w:t>
            </w:r>
          </w:p>
        </w:tc>
        <w:tc>
          <w:tcPr>
            <w:tcW w:w="0" w:type="dxa"/>
            <w:vAlign w:val="bottom"/>
          </w:tcPr>
          <w:p>
            <w:pPr>
              <w:spacing w:after="0"/>
              <w:rPr>
                <w:sz w:val="1"/>
                <w:szCs w:val="1"/>
                <w:color w:val="auto"/>
              </w:rPr>
            </w:pPr>
          </w:p>
        </w:tc>
      </w:tr>
      <w:tr>
        <w:trPr>
          <w:trHeight w:val="209"/>
        </w:trPr>
        <w:tc>
          <w:tcPr>
            <w:tcW w:w="83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120" w:type="dxa"/>
            <w:vAlign w:val="bottom"/>
            <w:tcBorders>
              <w:bottom w:val="single" w:sz="8" w:color="CCEEFF"/>
            </w:tcBorders>
          </w:tcPr>
          <w:p>
            <w:pPr>
              <w:spacing w:after="0"/>
              <w:rPr>
                <w:sz w:val="18"/>
                <w:szCs w:val="18"/>
                <w:color w:val="auto"/>
              </w:rPr>
            </w:pPr>
          </w:p>
        </w:tc>
        <w:tc>
          <w:tcPr>
            <w:tcW w:w="380" w:type="dxa"/>
            <w:vAlign w:val="bottom"/>
            <w:tcBorders>
              <w:bottom w:val="single" w:sz="8" w:color="CCEEFF"/>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17,104,869,121</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Defined benefit liabilities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17</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854,834,500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Provision for long-term employee benefits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17</w:t>
            </w:r>
          </w:p>
        </w:tc>
        <w:tc>
          <w:tcPr>
            <w:tcW w:w="38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176,138,476</w:t>
            </w:r>
          </w:p>
        </w:tc>
        <w:tc>
          <w:tcPr>
            <w:tcW w:w="0" w:type="dxa"/>
            <w:vAlign w:val="bottom"/>
          </w:tcPr>
          <w:p>
            <w:pPr>
              <w:spacing w:after="0"/>
              <w:rPr>
                <w:sz w:val="1"/>
                <w:szCs w:val="1"/>
                <w:color w:val="auto"/>
              </w:rPr>
            </w:pPr>
          </w:p>
        </w:tc>
      </w:tr>
      <w:tr>
        <w:trPr>
          <w:trHeight w:val="216"/>
        </w:trPr>
        <w:tc>
          <w:tcPr>
            <w:tcW w:w="8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Contract liabilities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c>
          <w:tcPr>
            <w:tcW w:w="3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861,164,337</w:t>
            </w:r>
          </w:p>
        </w:tc>
        <w:tc>
          <w:tcPr>
            <w:tcW w:w="0" w:type="dxa"/>
            <w:vAlign w:val="bottom"/>
          </w:tcPr>
          <w:p>
            <w:pPr>
              <w:spacing w:after="0"/>
              <w:rPr>
                <w:sz w:val="1"/>
                <w:szCs w:val="1"/>
                <w:color w:val="auto"/>
              </w:rPr>
            </w:pPr>
          </w:p>
        </w:tc>
      </w:tr>
      <w:tr>
        <w:trPr>
          <w:trHeight w:val="216"/>
        </w:trPr>
        <w:tc>
          <w:tcPr>
            <w:tcW w:w="8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Non-current Lease liabilities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16,34,36</w:t>
            </w:r>
          </w:p>
        </w:tc>
        <w:tc>
          <w:tcPr>
            <w:tcW w:w="38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272,137,059</w:t>
            </w:r>
          </w:p>
        </w:tc>
        <w:tc>
          <w:tcPr>
            <w:tcW w:w="0" w:type="dxa"/>
            <w:vAlign w:val="bottom"/>
          </w:tcPr>
          <w:p>
            <w:pPr>
              <w:spacing w:after="0"/>
              <w:rPr>
                <w:sz w:val="1"/>
                <w:szCs w:val="1"/>
                <w:color w:val="auto"/>
              </w:rPr>
            </w:pPr>
          </w:p>
        </w:tc>
      </w:tr>
      <w:tr>
        <w:trPr>
          <w:trHeight w:val="216"/>
        </w:trPr>
        <w:tc>
          <w:tcPr>
            <w:tcW w:w="8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non-current provisions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19</w:t>
            </w:r>
          </w:p>
        </w:tc>
        <w:tc>
          <w:tcPr>
            <w:tcW w:w="3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173,497,772</w:t>
            </w:r>
          </w:p>
        </w:tc>
        <w:tc>
          <w:tcPr>
            <w:tcW w:w="0" w:type="dxa"/>
            <w:vAlign w:val="bottom"/>
          </w:tcPr>
          <w:p>
            <w:pPr>
              <w:spacing w:after="0"/>
              <w:rPr>
                <w:sz w:val="1"/>
                <w:szCs w:val="1"/>
                <w:color w:val="auto"/>
              </w:rPr>
            </w:pPr>
          </w:p>
        </w:tc>
      </w:tr>
      <w:tr>
        <w:trPr>
          <w:trHeight w:val="209"/>
        </w:trPr>
        <w:tc>
          <w:tcPr>
            <w:tcW w:w="83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1120" w:type="dxa"/>
            <w:vAlign w:val="bottom"/>
            <w:tcBorders>
              <w:bottom w:val="single" w:sz="8" w:color="CCEEFF"/>
            </w:tcBorders>
          </w:tcPr>
          <w:p>
            <w:pPr>
              <w:spacing w:after="0"/>
              <w:rPr>
                <w:sz w:val="18"/>
                <w:szCs w:val="18"/>
                <w:color w:val="auto"/>
              </w:rPr>
            </w:pPr>
          </w:p>
        </w:tc>
        <w:tc>
          <w:tcPr>
            <w:tcW w:w="380" w:type="dxa"/>
            <w:vAlign w:val="bottom"/>
            <w:tcBorders>
              <w:bottom w:val="single" w:sz="8" w:color="CCEEFF"/>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2,337,772,144</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1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19,442,641,265</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3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1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8380" w:type="dxa"/>
            <w:vAlign w:val="bottom"/>
            <w:vMerge w:val="continue"/>
          </w:tcPr>
          <w:p>
            <w:pPr>
              <w:spacing w:after="0"/>
              <w:rPr>
                <w:sz w:val="16"/>
                <w:szCs w:val="16"/>
                <w:color w:val="auto"/>
              </w:rPr>
            </w:pPr>
          </w:p>
        </w:tc>
        <w:tc>
          <w:tcPr>
            <w:tcW w:w="1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8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 capital</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w:t>
            </w:r>
          </w:p>
        </w:tc>
        <w:tc>
          <w:tcPr>
            <w:tcW w:w="3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6,939,760,500</w:t>
            </w:r>
          </w:p>
        </w:tc>
        <w:tc>
          <w:tcPr>
            <w:tcW w:w="0" w:type="dxa"/>
            <w:vAlign w:val="bottom"/>
          </w:tcPr>
          <w:p>
            <w:pPr>
              <w:spacing w:after="0"/>
              <w:rPr>
                <w:sz w:val="1"/>
                <w:szCs w:val="1"/>
                <w:color w:val="auto"/>
              </w:rPr>
            </w:pPr>
          </w:p>
        </w:tc>
      </w:tr>
      <w:tr>
        <w:trPr>
          <w:trHeight w:val="216"/>
        </w:trPr>
        <w:tc>
          <w:tcPr>
            <w:tcW w:w="8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reserves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21,32</w:t>
            </w:r>
          </w:p>
        </w:tc>
        <w:tc>
          <w:tcPr>
            <w:tcW w:w="38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10,436,120,041</w:t>
            </w:r>
          </w:p>
        </w:tc>
        <w:tc>
          <w:tcPr>
            <w:tcW w:w="0" w:type="dxa"/>
            <w:vAlign w:val="bottom"/>
          </w:tcPr>
          <w:p>
            <w:pPr>
              <w:spacing w:after="0"/>
              <w:rPr>
                <w:sz w:val="1"/>
                <w:szCs w:val="1"/>
                <w:color w:val="auto"/>
              </w:rPr>
            </w:pPr>
          </w:p>
        </w:tc>
      </w:tr>
      <w:tr>
        <w:trPr>
          <w:trHeight w:val="216"/>
        </w:trPr>
        <w:tc>
          <w:tcPr>
            <w:tcW w:w="8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22</w:t>
            </w:r>
          </w:p>
        </w:tc>
        <w:tc>
          <w:tcPr>
            <w:tcW w:w="3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(4,346,336,892)</w:t>
            </w:r>
          </w:p>
        </w:tc>
        <w:tc>
          <w:tcPr>
            <w:tcW w:w="0" w:type="dxa"/>
            <w:vAlign w:val="bottom"/>
          </w:tcPr>
          <w:p>
            <w:pPr>
              <w:spacing w:after="0"/>
              <w:rPr>
                <w:sz w:val="1"/>
                <w:szCs w:val="1"/>
                <w:color w:val="auto"/>
              </w:rPr>
            </w:pPr>
          </w:p>
        </w:tc>
      </w:tr>
      <w:tr>
        <w:trPr>
          <w:trHeight w:val="210"/>
        </w:trPr>
        <w:tc>
          <w:tcPr>
            <w:tcW w:w="83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Equity attributable to owners of the Parent Company</w:t>
            </w:r>
          </w:p>
        </w:tc>
        <w:tc>
          <w:tcPr>
            <w:tcW w:w="1120" w:type="dxa"/>
            <w:vAlign w:val="bottom"/>
            <w:tcBorders>
              <w:bottom w:val="single" w:sz="8" w:color="CCEEFF"/>
            </w:tcBorders>
          </w:tcPr>
          <w:p>
            <w:pPr>
              <w:spacing w:after="0"/>
              <w:rPr>
                <w:sz w:val="18"/>
                <w:szCs w:val="18"/>
                <w:color w:val="auto"/>
              </w:rPr>
            </w:pPr>
          </w:p>
        </w:tc>
        <w:tc>
          <w:tcPr>
            <w:tcW w:w="380" w:type="dxa"/>
            <w:vAlign w:val="bottom"/>
            <w:tcBorders>
              <w:bottom w:val="single" w:sz="8" w:color="CCEEFF"/>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13,029,543,649</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Non-controlling interest</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380" w:type="dxa"/>
            <w:vAlign w:val="bottom"/>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478,058,642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3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1120" w:type="dxa"/>
            <w:vAlign w:val="bottom"/>
            <w:tcBorders>
              <w:bottom w:val="single" w:sz="8" w:color="CCEEFF"/>
            </w:tcBorders>
          </w:tcPr>
          <w:p>
            <w:pPr>
              <w:spacing w:after="0"/>
              <w:rPr>
                <w:sz w:val="18"/>
                <w:szCs w:val="18"/>
                <w:color w:val="auto"/>
              </w:rPr>
            </w:pPr>
          </w:p>
        </w:tc>
        <w:tc>
          <w:tcPr>
            <w:tcW w:w="38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13,507,602,291</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11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32,950,243,556</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8"/>
        </w:trPr>
        <w:tc>
          <w:tcPr>
            <w:tcW w:w="8400" w:type="dxa"/>
            <w:vAlign w:val="bottom"/>
          </w:tcPr>
          <w:p>
            <w:pPr>
              <w:jc w:val="center"/>
              <w:ind w:left="2770"/>
              <w:spacing w:after="0"/>
              <w:rPr>
                <w:sz w:val="20"/>
                <w:szCs w:val="20"/>
                <w:color w:val="auto"/>
              </w:rPr>
            </w:pPr>
            <w:r>
              <w:rPr>
                <w:rFonts w:ascii="Times New Roman" w:cs="Times New Roman" w:eastAsia="Times New Roman" w:hAnsi="Times New Roman"/>
                <w:sz w:val="18"/>
                <w:szCs w:val="18"/>
                <w:b w:val="1"/>
                <w:bCs w:val="1"/>
                <w:color w:val="auto"/>
                <w:w w:val="99"/>
              </w:rPr>
              <w:t>Hansol Inticube Co. Ltd.</w:t>
            </w:r>
          </w:p>
        </w:tc>
        <w:tc>
          <w:tcPr>
            <w:tcW w:w="1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400" w:type="dxa"/>
            <w:vAlign w:val="bottom"/>
          </w:tcPr>
          <w:p>
            <w:pPr>
              <w:jc w:val="center"/>
              <w:ind w:left="2750"/>
              <w:spacing w:after="0"/>
              <w:rPr>
                <w:sz w:val="20"/>
                <w:szCs w:val="20"/>
                <w:color w:val="auto"/>
              </w:rPr>
            </w:pPr>
            <w:r>
              <w:rPr>
                <w:rFonts w:ascii="Times New Roman" w:cs="Times New Roman" w:eastAsia="Times New Roman" w:hAnsi="Times New Roman"/>
                <w:sz w:val="18"/>
                <w:szCs w:val="18"/>
                <w:b w:val="1"/>
                <w:bCs w:val="1"/>
                <w:color w:val="auto"/>
                <w:w w:val="99"/>
              </w:rPr>
              <w:t>CONSOLIDATED STATEMENT OF COMPREHENSIVE INCOME</w:t>
            </w: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400" w:type="dxa"/>
            <w:vAlign w:val="bottom"/>
          </w:tcPr>
          <w:p>
            <w:pPr>
              <w:jc w:val="center"/>
              <w:ind w:left="2770"/>
              <w:spacing w:after="0"/>
              <w:rPr>
                <w:sz w:val="20"/>
                <w:szCs w:val="20"/>
                <w:color w:val="auto"/>
              </w:rPr>
            </w:pPr>
            <w:r>
              <w:rPr>
                <w:rFonts w:ascii="Times New Roman" w:cs="Times New Roman" w:eastAsia="Times New Roman" w:hAnsi="Times New Roman"/>
                <w:sz w:val="18"/>
                <w:szCs w:val="18"/>
                <w:b w:val="1"/>
                <w:bCs w:val="1"/>
                <w:color w:val="auto"/>
                <w:w w:val="99"/>
              </w:rPr>
              <w:t>For the Year Ended December 31, 2025</w:t>
            </w: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400" w:type="dxa"/>
            <w:vAlign w:val="bottom"/>
          </w:tcPr>
          <w:p>
            <w:pPr>
              <w:spacing w:after="0"/>
              <w:rPr>
                <w:sz w:val="24"/>
                <w:szCs w:val="24"/>
                <w:color w:val="auto"/>
              </w:rPr>
            </w:pPr>
          </w:p>
        </w:tc>
        <w:tc>
          <w:tcPr>
            <w:tcW w:w="11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Note</w:t>
            </w:r>
          </w:p>
        </w:tc>
        <w:tc>
          <w:tcPr>
            <w:tcW w:w="380" w:type="dxa"/>
            <w:vAlign w:val="bottom"/>
          </w:tcPr>
          <w:p>
            <w:pPr>
              <w:spacing w:after="0"/>
              <w:rPr>
                <w:sz w:val="24"/>
                <w:szCs w:val="24"/>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24"/>
                <w:szCs w:val="24"/>
                <w:color w:val="auto"/>
              </w:rPr>
            </w:pPr>
          </w:p>
        </w:tc>
      </w:tr>
      <w:tr>
        <w:trPr>
          <w:trHeight w:val="187"/>
        </w:trPr>
        <w:tc>
          <w:tcPr>
            <w:tcW w:w="84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8"/>
              </w:rPr>
              <w:t>(in Korean</w:t>
            </w:r>
          </w:p>
        </w:tc>
        <w:tc>
          <w:tcPr>
            <w:tcW w:w="100" w:type="dxa"/>
            <w:vAlign w:val="bottom"/>
          </w:tcPr>
          <w:p>
            <w:pPr>
              <w:spacing w:after="0"/>
              <w:rPr>
                <w:sz w:val="16"/>
                <w:szCs w:val="16"/>
                <w:color w:val="auto"/>
              </w:rPr>
            </w:pPr>
          </w:p>
        </w:tc>
      </w:tr>
      <w:tr>
        <w:trPr>
          <w:trHeight w:val="238"/>
        </w:trPr>
        <w:tc>
          <w:tcPr>
            <w:tcW w:w="84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won)</w:t>
            </w:r>
          </w:p>
        </w:tc>
      </w:tr>
      <w:tr>
        <w:trPr>
          <w:trHeight w:val="216"/>
        </w:trPr>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4,23</w:t>
            </w:r>
          </w:p>
        </w:tc>
        <w:tc>
          <w:tcPr>
            <w:tcW w:w="3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64,818,242,303</w:t>
            </w:r>
          </w:p>
        </w:tc>
      </w:tr>
      <w:tr>
        <w:trPr>
          <w:trHeight w:val="216"/>
        </w:trPr>
        <w:tc>
          <w:tcPr>
            <w:tcW w:w="8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Cost of revenues</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24,31</w:t>
            </w:r>
          </w:p>
        </w:tc>
        <w:tc>
          <w:tcPr>
            <w:tcW w:w="38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49,281,096,476</w:t>
            </w:r>
          </w:p>
        </w:tc>
      </w:tr>
      <w:tr>
        <w:trPr>
          <w:trHeight w:val="210"/>
        </w:trPr>
        <w:tc>
          <w:tcPr>
            <w:tcW w:w="8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15,537,145,827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25,31</w:t>
            </w:r>
          </w:p>
        </w:tc>
        <w:tc>
          <w:tcPr>
            <w:tcW w:w="38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14,490,163,763</w:t>
            </w:r>
          </w:p>
        </w:tc>
      </w:tr>
      <w:tr>
        <w:trPr>
          <w:trHeight w:val="216"/>
        </w:trPr>
        <w:tc>
          <w:tcPr>
            <w:tcW w:w="8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income</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28</w:t>
            </w:r>
          </w:p>
        </w:tc>
        <w:tc>
          <w:tcPr>
            <w:tcW w:w="3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164,109,772</w:t>
            </w:r>
          </w:p>
        </w:tc>
      </w:tr>
      <w:tr>
        <w:trPr>
          <w:trHeight w:val="216"/>
        </w:trPr>
        <w:tc>
          <w:tcPr>
            <w:tcW w:w="8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expenses</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29</w:t>
            </w:r>
          </w:p>
        </w:tc>
        <w:tc>
          <w:tcPr>
            <w:tcW w:w="38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112,552,103</w:t>
            </w:r>
          </w:p>
        </w:tc>
      </w:tr>
      <w:tr>
        <w:trPr>
          <w:trHeight w:val="209"/>
        </w:trPr>
        <w:tc>
          <w:tcPr>
            <w:tcW w:w="8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profit</w:t>
            </w:r>
          </w:p>
        </w:tc>
        <w:tc>
          <w:tcPr>
            <w:tcW w:w="1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1,098,539,733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Finance income</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26</w:t>
            </w:r>
          </w:p>
        </w:tc>
        <w:tc>
          <w:tcPr>
            <w:tcW w:w="38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132,849,548</w:t>
            </w:r>
          </w:p>
        </w:tc>
      </w:tr>
      <w:tr>
        <w:trPr>
          <w:trHeight w:val="216"/>
        </w:trPr>
        <w:tc>
          <w:tcPr>
            <w:tcW w:w="8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Finance costs</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27</w:t>
            </w:r>
          </w:p>
        </w:tc>
        <w:tc>
          <w:tcPr>
            <w:tcW w:w="3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187,577,073</w:t>
            </w:r>
          </w:p>
        </w:tc>
      </w:tr>
      <w:tr>
        <w:trPr>
          <w:trHeight w:val="209"/>
        </w:trPr>
        <w:tc>
          <w:tcPr>
            <w:tcW w:w="8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Profit before income tax</w:t>
            </w:r>
          </w:p>
        </w:tc>
        <w:tc>
          <w:tcPr>
            <w:tcW w:w="1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1,043,812,208</w:t>
            </w:r>
          </w:p>
        </w:tc>
        <w:tc>
          <w:tcPr>
            <w:tcW w:w="100" w:type="dxa"/>
            <w:vAlign w:val="bottom"/>
          </w:tcPr>
          <w:p>
            <w:pPr>
              <w:spacing w:after="0"/>
              <w:rPr>
                <w:sz w:val="18"/>
                <w:szCs w:val="18"/>
                <w:color w:val="auto"/>
              </w:rPr>
            </w:pPr>
          </w:p>
        </w:tc>
      </w:tr>
      <w:tr>
        <w:trPr>
          <w:trHeight w:val="216"/>
        </w:trPr>
        <w:tc>
          <w:tcPr>
            <w:tcW w:w="8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 expense</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30</w:t>
            </w:r>
          </w:p>
        </w:tc>
        <w:tc>
          <w:tcPr>
            <w:tcW w:w="3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148,133,704</w:t>
            </w:r>
          </w:p>
        </w:tc>
      </w:tr>
      <w:tr>
        <w:trPr>
          <w:trHeight w:val="210"/>
        </w:trPr>
        <w:tc>
          <w:tcPr>
            <w:tcW w:w="84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Profit for the year</w:t>
            </w:r>
          </w:p>
        </w:tc>
        <w:tc>
          <w:tcPr>
            <w:tcW w:w="1100" w:type="dxa"/>
            <w:vAlign w:val="bottom"/>
            <w:tcBorders>
              <w:bottom w:val="single" w:sz="8" w:color="CCEEFF"/>
            </w:tcBorders>
          </w:tcPr>
          <w:p>
            <w:pPr>
              <w:spacing w:after="0"/>
              <w:rPr>
                <w:sz w:val="18"/>
                <w:szCs w:val="18"/>
                <w:color w:val="auto"/>
              </w:rPr>
            </w:pPr>
          </w:p>
        </w:tc>
        <w:tc>
          <w:tcPr>
            <w:tcW w:w="38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895,678,504</w:t>
            </w:r>
          </w:p>
        </w:tc>
        <w:tc>
          <w:tcPr>
            <w:tcW w:w="100" w:type="dxa"/>
            <w:vAlign w:val="bottom"/>
            <w:tcBorders>
              <w:bottom w:val="single" w:sz="8" w:color="CCEEFF"/>
            </w:tcBorders>
          </w:tcPr>
          <w:p>
            <w:pPr>
              <w:spacing w:after="0"/>
              <w:rPr>
                <w:sz w:val="18"/>
                <w:szCs w:val="18"/>
                <w:color w:val="auto"/>
              </w:rPr>
            </w:pPr>
          </w:p>
        </w:tc>
      </w:tr>
      <w:tr>
        <w:trPr>
          <w:trHeight w:val="209"/>
        </w:trPr>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comprehensive loss</w:t>
            </w:r>
          </w:p>
        </w:tc>
        <w:tc>
          <w:tcPr>
            <w:tcW w:w="1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Items that will not be reclassified to income or loss:</w:t>
            </w:r>
          </w:p>
        </w:tc>
        <w:tc>
          <w:tcPr>
            <w:tcW w:w="1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Remeasurement of defined benefit liabilities</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17,30</w:t>
            </w:r>
          </w:p>
        </w:tc>
        <w:tc>
          <w:tcPr>
            <w:tcW w:w="3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(344,105,471)</w:t>
            </w:r>
          </w:p>
        </w:tc>
      </w:tr>
      <w:tr>
        <w:trPr>
          <w:trHeight w:val="250"/>
        </w:trPr>
        <w:tc>
          <w:tcPr>
            <w:tcW w:w="84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comprehensive income for the year</w:t>
            </w:r>
          </w:p>
        </w:tc>
        <w:tc>
          <w:tcPr>
            <w:tcW w:w="1100" w:type="dxa"/>
            <w:vAlign w:val="bottom"/>
            <w:tcBorders>
              <w:bottom w:val="single" w:sz="8" w:color="CCEEFF"/>
            </w:tcBorders>
          </w:tcPr>
          <w:p>
            <w:pPr>
              <w:spacing w:after="0"/>
              <w:rPr>
                <w:sz w:val="21"/>
                <w:szCs w:val="21"/>
                <w:color w:val="auto"/>
              </w:rPr>
            </w:pPr>
          </w:p>
        </w:tc>
        <w:tc>
          <w:tcPr>
            <w:tcW w:w="38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551,573,033</w:t>
            </w:r>
          </w:p>
        </w:tc>
        <w:tc>
          <w:tcPr>
            <w:tcW w:w="100" w:type="dxa"/>
            <w:vAlign w:val="bottom"/>
            <w:tcBorders>
              <w:bottom w:val="single" w:sz="8" w:color="CCEEFF"/>
            </w:tcBorders>
          </w:tcPr>
          <w:p>
            <w:pPr>
              <w:spacing w:after="0"/>
              <w:rPr>
                <w:sz w:val="21"/>
                <w:szCs w:val="21"/>
                <w:color w:val="auto"/>
              </w:rPr>
            </w:pPr>
          </w:p>
        </w:tc>
      </w:tr>
      <w:tr>
        <w:trPr>
          <w:trHeight w:val="197"/>
        </w:trPr>
        <w:tc>
          <w:tcPr>
            <w:tcW w:w="84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Profit attributable to:</w:t>
            </w:r>
          </w:p>
        </w:tc>
        <w:tc>
          <w:tcPr>
            <w:tcW w:w="1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Owners of the Parent Company</w:t>
            </w:r>
          </w:p>
        </w:tc>
        <w:tc>
          <w:tcPr>
            <w:tcW w:w="1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794,130,344</w:t>
            </w:r>
          </w:p>
        </w:tc>
      </w:tr>
      <w:tr>
        <w:trPr>
          <w:trHeight w:val="216"/>
        </w:trPr>
        <w:tc>
          <w:tcPr>
            <w:tcW w:w="8400" w:type="dxa"/>
            <w:vAlign w:val="bottom"/>
            <w:shd w:val="clear" w:color="auto" w:fill="CCEEFF"/>
          </w:tcPr>
          <w:p>
            <w:pPr>
              <w:ind w:left="180"/>
              <w:spacing w:after="0" w:line="207" w:lineRule="exact"/>
              <w:rPr>
                <w:sz w:val="20"/>
                <w:szCs w:val="20"/>
                <w:color w:val="auto"/>
              </w:rPr>
            </w:pPr>
            <w:r>
              <w:rPr>
                <w:rFonts w:ascii="Times New Roman" w:cs="Times New Roman" w:eastAsia="Times New Roman" w:hAnsi="Times New Roman"/>
                <w:sz w:val="18"/>
                <w:szCs w:val="18"/>
                <w:color w:val="auto"/>
              </w:rPr>
              <w:t>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controlling interest</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3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101,548,160</w:t>
            </w:r>
          </w:p>
        </w:tc>
      </w:tr>
      <w:tr>
        <w:trPr>
          <w:trHeight w:val="216"/>
        </w:trPr>
        <w:tc>
          <w:tcPr>
            <w:tcW w:w="8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comprehensive income attributable to:</w:t>
            </w:r>
          </w:p>
        </w:tc>
        <w:tc>
          <w:tcPr>
            <w:tcW w:w="1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Owners of the Parent Company</w:t>
            </w:r>
          </w:p>
        </w:tc>
        <w:tc>
          <w:tcPr>
            <w:tcW w:w="1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463,538,939</w:t>
            </w:r>
          </w:p>
        </w:tc>
      </w:tr>
      <w:tr>
        <w:trPr>
          <w:trHeight w:val="216"/>
        </w:trPr>
        <w:tc>
          <w:tcPr>
            <w:tcW w:w="8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Non-controlling interest</w:t>
            </w:r>
          </w:p>
        </w:tc>
        <w:tc>
          <w:tcPr>
            <w:tcW w:w="1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88,034,094</w:t>
            </w:r>
          </w:p>
        </w:tc>
      </w:tr>
      <w:tr>
        <w:trPr>
          <w:trHeight w:val="216"/>
        </w:trPr>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Earnings per share</w:t>
            </w:r>
          </w:p>
        </w:tc>
        <w:tc>
          <w:tcPr>
            <w:tcW w:w="1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 earnings per share</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33</w:t>
            </w:r>
          </w:p>
        </w:tc>
        <w:tc>
          <w:tcPr>
            <w:tcW w:w="380" w:type="dxa"/>
            <w:vAlign w:val="bottom"/>
          </w:tcPr>
          <w:p>
            <w:pPr>
              <w:ind w:left="1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8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33</w:t>
            </w:r>
          </w:p>
        </w:tc>
        <w:tc>
          <w:tcPr>
            <w:tcW w:w="3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Hansol Inticube Co. Ltd.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 OF CHANGES IN EQUITY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 Ended December 31, 2025</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8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540" w:type="dxa"/>
            <w:vAlign w:val="bottom"/>
            <w:tcBorders>
              <w:bottom w:val="single" w:sz="8" w:color="auto"/>
            </w:tcBorders>
            <w:gridSpan w:val="6"/>
          </w:tcPr>
          <w:p>
            <w:pPr>
              <w:ind w:left="280"/>
              <w:spacing w:after="0"/>
              <w:rPr>
                <w:sz w:val="20"/>
                <w:szCs w:val="20"/>
                <w:color w:val="auto"/>
              </w:rPr>
            </w:pPr>
            <w:r>
              <w:rPr>
                <w:rFonts w:ascii="Times New Roman" w:cs="Times New Roman" w:eastAsia="Times New Roman" w:hAnsi="Times New Roman"/>
                <w:sz w:val="14"/>
                <w:szCs w:val="14"/>
                <w:b w:val="1"/>
                <w:bCs w:val="1"/>
                <w:color w:val="auto"/>
              </w:rPr>
              <w:t>Attributable to owners of the Parent Company</w:t>
            </w:r>
          </w:p>
        </w:tc>
        <w:tc>
          <w:tcPr>
            <w:tcW w:w="10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8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2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120" w:type="dxa"/>
            <w:vAlign w:val="bottom"/>
            <w:gridSpan w:val="2"/>
          </w:tcPr>
          <w:p>
            <w:pPr>
              <w:jc w:val="center"/>
              <w:ind w:right="220"/>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9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Non-</w:t>
            </w:r>
          </w:p>
        </w:tc>
        <w:tc>
          <w:tcPr>
            <w:tcW w:w="10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1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0" w:type="dxa"/>
            <w:vAlign w:val="bottom"/>
            <w:gridSpan w:val="2"/>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Share capital</w:t>
            </w:r>
          </w:p>
        </w:tc>
        <w:tc>
          <w:tcPr>
            <w:tcW w:w="1220" w:type="dxa"/>
            <w:vAlign w:val="bottom"/>
            <w:gridSpan w:val="2"/>
          </w:tcPr>
          <w:p>
            <w:pPr>
              <w:ind w:left="28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1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200" w:type="dxa"/>
            <w:vAlign w:val="bottom"/>
            <w:gridSpan w:val="2"/>
            <w:vMerge w:val="continue"/>
          </w:tcPr>
          <w:p>
            <w:pPr>
              <w:spacing w:after="0"/>
              <w:rPr>
                <w:sz w:val="12"/>
                <w:szCs w:val="12"/>
                <w:color w:val="auto"/>
              </w:rPr>
            </w:pPr>
          </w:p>
        </w:tc>
        <w:tc>
          <w:tcPr>
            <w:tcW w:w="1240" w:type="dxa"/>
            <w:vAlign w:val="bottom"/>
            <w:gridSpan w:val="2"/>
            <w:vMerge w:val="restart"/>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1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controlling</w:t>
            </w:r>
          </w:p>
        </w:tc>
        <w:tc>
          <w:tcPr>
            <w:tcW w:w="112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Total equity</w:t>
            </w:r>
          </w:p>
        </w:tc>
        <w:tc>
          <w:tcPr>
            <w:tcW w:w="0" w:type="dxa"/>
            <w:vAlign w:val="bottom"/>
          </w:tcPr>
          <w:p>
            <w:pPr>
              <w:spacing w:after="0"/>
              <w:rPr>
                <w:sz w:val="1"/>
                <w:szCs w:val="1"/>
                <w:color w:val="auto"/>
              </w:rPr>
            </w:pPr>
          </w:p>
        </w:tc>
      </w:tr>
      <w:tr>
        <w:trPr>
          <w:trHeight w:val="173"/>
        </w:trPr>
        <w:tc>
          <w:tcPr>
            <w:tcW w:w="28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122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1200" w:type="dxa"/>
            <w:vAlign w:val="bottom"/>
            <w:gridSpan w:val="2"/>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240" w:type="dxa"/>
            <w:vAlign w:val="bottom"/>
            <w:gridSpan w:val="2"/>
            <w:vMerge w:val="continue"/>
          </w:tcPr>
          <w:p>
            <w:pPr>
              <w:spacing w:after="0"/>
              <w:rPr>
                <w:sz w:val="15"/>
                <w:szCs w:val="15"/>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12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gridSpan w:val="2"/>
          </w:tcPr>
          <w:p>
            <w:pPr>
              <w:jc w:val="right"/>
              <w:ind w:right="88"/>
              <w:spacing w:after="0" w:line="142" w:lineRule="exact"/>
              <w:rPr>
                <w:sz w:val="20"/>
                <w:szCs w:val="20"/>
                <w:color w:val="auto"/>
              </w:rPr>
            </w:pPr>
            <w:r>
              <w:rPr>
                <w:rFonts w:ascii="Times New Roman" w:cs="Times New Roman" w:eastAsia="Times New Roman" w:hAnsi="Times New Roman"/>
                <w:sz w:val="14"/>
                <w:szCs w:val="14"/>
                <w:b w:val="1"/>
                <w:bCs w:val="1"/>
                <w:color w:val="auto"/>
              </w:rPr>
              <w:t>(in Korean won)</w:t>
            </w:r>
          </w:p>
        </w:tc>
        <w:tc>
          <w:tcPr>
            <w:tcW w:w="10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Balance at January 1, 2025</w:t>
            </w:r>
          </w:p>
        </w:tc>
        <w:tc>
          <w:tcPr>
            <w:tcW w:w="3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6,939,760,500</w:t>
            </w:r>
          </w:p>
        </w:tc>
        <w:tc>
          <w:tcPr>
            <w:tcW w:w="12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10,462,865,404</w:t>
            </w:r>
          </w:p>
        </w:tc>
        <w:tc>
          <w:tcPr>
            <w:tcW w:w="112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(400,825)</w:t>
            </w:r>
          </w:p>
        </w:tc>
        <w:tc>
          <w:tcPr>
            <w:tcW w:w="1200" w:type="dxa"/>
            <w:vAlign w:val="bottom"/>
            <w:gridSpan w:val="2"/>
            <w:shd w:val="clear" w:color="auto" w:fill="CCEEFF"/>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(4,809,875,831)</w:t>
            </w:r>
          </w:p>
        </w:tc>
        <w:tc>
          <w:tcPr>
            <w:tcW w:w="12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12,592,349,248</w:t>
            </w:r>
          </w:p>
        </w:tc>
        <w:tc>
          <w:tcPr>
            <w:tcW w:w="11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390,024,548</w:t>
            </w:r>
          </w:p>
        </w:tc>
        <w:tc>
          <w:tcPr>
            <w:tcW w:w="104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12,982,373,796</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8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Remeasurement of defined benefit liabilities</w:t>
            </w:r>
          </w:p>
        </w:tc>
        <w:tc>
          <w:tcPr>
            <w:tcW w:w="300" w:type="dxa"/>
            <w:vAlign w:val="bottom"/>
          </w:tcPr>
          <w:p>
            <w:pPr>
              <w:ind w:left="6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(330,591,405)</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(330,591,405)</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(13,514,066)</w:t>
            </w:r>
          </w:p>
        </w:tc>
        <w:tc>
          <w:tcPr>
            <w:tcW w:w="112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(344,105,471)</w:t>
            </w:r>
          </w:p>
        </w:tc>
        <w:tc>
          <w:tcPr>
            <w:tcW w:w="0" w:type="dxa"/>
            <w:vAlign w:val="bottom"/>
          </w:tcPr>
          <w:p>
            <w:pPr>
              <w:spacing w:after="0"/>
              <w:rPr>
                <w:sz w:val="1"/>
                <w:szCs w:val="1"/>
                <w:color w:val="auto"/>
              </w:rPr>
            </w:pPr>
          </w:p>
        </w:tc>
      </w:tr>
      <w:tr>
        <w:trPr>
          <w:trHeight w:val="149"/>
        </w:trPr>
        <w:tc>
          <w:tcPr>
            <w:tcW w:w="280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Profit for the year</w:t>
            </w:r>
          </w:p>
        </w:tc>
        <w:tc>
          <w:tcPr>
            <w:tcW w:w="3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shd w:val="clear" w:color="auto" w:fill="CCEEFF"/>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794,130,344</w:t>
            </w:r>
          </w:p>
        </w:tc>
        <w:tc>
          <w:tcPr>
            <w:tcW w:w="12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794,130,344</w:t>
            </w:r>
          </w:p>
        </w:tc>
        <w:tc>
          <w:tcPr>
            <w:tcW w:w="11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101,548,160</w:t>
            </w:r>
          </w:p>
        </w:tc>
        <w:tc>
          <w:tcPr>
            <w:tcW w:w="104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895,678,504</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0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Stock option granted</w:t>
            </w:r>
          </w:p>
        </w:tc>
        <w:tc>
          <w:tcPr>
            <w:tcW w:w="300" w:type="dxa"/>
            <w:vAlign w:val="bottom"/>
          </w:tcPr>
          <w:p>
            <w:pPr>
              <w:spacing w:after="0"/>
              <w:rPr>
                <w:sz w:val="12"/>
                <w:szCs w:val="12"/>
                <w:color w:val="auto"/>
              </w:rPr>
            </w:pPr>
          </w:p>
        </w:tc>
        <w:tc>
          <w:tcPr>
            <w:tcW w:w="11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2,394,958</w:t>
            </w:r>
          </w:p>
        </w:tc>
        <w:tc>
          <w:tcPr>
            <w:tcW w:w="11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2,394,958</w:t>
            </w:r>
          </w:p>
        </w:tc>
        <w:tc>
          <w:tcPr>
            <w:tcW w:w="11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2,394,958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0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Stock option cancelled</w:t>
            </w:r>
          </w:p>
        </w:tc>
        <w:tc>
          <w:tcPr>
            <w:tcW w:w="3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(28,739,496)</w:t>
            </w:r>
          </w:p>
        </w:tc>
        <w:tc>
          <w:tcPr>
            <w:tcW w:w="11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shd w:val="clear" w:color="auto" w:fill="CCEEFF"/>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(28,739,496)</w:t>
            </w:r>
          </w:p>
        </w:tc>
        <w:tc>
          <w:tcPr>
            <w:tcW w:w="11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3"/>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(28,739,496)</w:t>
            </w:r>
          </w:p>
        </w:tc>
        <w:tc>
          <w:tcPr>
            <w:tcW w:w="0" w:type="dxa"/>
            <w:vAlign w:val="bottom"/>
          </w:tcPr>
          <w:p>
            <w:pPr>
              <w:spacing w:after="0"/>
              <w:rPr>
                <w:sz w:val="1"/>
                <w:szCs w:val="1"/>
                <w:color w:val="auto"/>
              </w:rPr>
            </w:pPr>
          </w:p>
        </w:tc>
      </w:tr>
      <w:tr>
        <w:trPr>
          <w:trHeight w:val="156"/>
        </w:trPr>
        <w:tc>
          <w:tcPr>
            <w:tcW w:w="2800" w:type="dxa"/>
            <w:vAlign w:val="bottom"/>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Balance at December 31, 2025</w:t>
            </w:r>
          </w:p>
        </w:tc>
        <w:tc>
          <w:tcPr>
            <w:tcW w:w="300" w:type="dxa"/>
            <w:vAlign w:val="bottom"/>
          </w:tcPr>
          <w:p>
            <w:pPr>
              <w:ind w:left="60"/>
              <w:spacing w:after="0" w:line="155" w:lineRule="exact"/>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6,939,760,500</w:t>
            </w:r>
          </w:p>
        </w:tc>
        <w:tc>
          <w:tcPr>
            <w:tcW w:w="200" w:type="dxa"/>
            <w:vAlign w:val="bottom"/>
          </w:tcPr>
          <w:p>
            <w:pPr>
              <w:spacing w:after="0"/>
              <w:rPr>
                <w:sz w:val="13"/>
                <w:szCs w:val="13"/>
                <w:color w:val="auto"/>
              </w:rPr>
            </w:pPr>
          </w:p>
        </w:tc>
        <w:tc>
          <w:tcPr>
            <w:tcW w:w="10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10,436,520,866</w:t>
            </w:r>
          </w:p>
        </w:tc>
        <w:tc>
          <w:tcPr>
            <w:tcW w:w="220" w:type="dxa"/>
            <w:vAlign w:val="bottom"/>
          </w:tcPr>
          <w:p>
            <w:pPr>
              <w:spacing w:after="0"/>
              <w:rPr>
                <w:sz w:val="13"/>
                <w:szCs w:val="13"/>
                <w:color w:val="auto"/>
              </w:rPr>
            </w:pP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(400,825)</w:t>
            </w:r>
          </w:p>
        </w:tc>
        <w:tc>
          <w:tcPr>
            <w:tcW w:w="220" w:type="dxa"/>
            <w:vAlign w:val="bottom"/>
          </w:tcPr>
          <w:p>
            <w:pPr>
              <w:spacing w:after="0"/>
              <w:rPr>
                <w:sz w:val="13"/>
                <w:szCs w:val="13"/>
                <w:color w:val="auto"/>
              </w:rPr>
            </w:pPr>
          </w:p>
        </w:tc>
        <w:tc>
          <w:tcPr>
            <w:tcW w:w="9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(4,346,336,892</w:t>
            </w:r>
          </w:p>
        </w:tc>
        <w:tc>
          <w:tcPr>
            <w:tcW w:w="220" w:type="dxa"/>
            <w:vAlign w:val="bottom"/>
          </w:tcPr>
          <w:p>
            <w:pPr>
              <w:jc w:val="right"/>
              <w:ind w:right="88"/>
              <w:spacing w:after="0" w:line="155" w:lineRule="exact"/>
              <w:rPr>
                <w:sz w:val="20"/>
                <w:szCs w:val="20"/>
                <w:color w:val="auto"/>
              </w:rPr>
            </w:pPr>
            <w:r>
              <w:rPr>
                <w:rFonts w:ascii="Times New Roman" w:cs="Times New Roman" w:eastAsia="Times New Roman" w:hAnsi="Times New Roman"/>
                <w:sz w:val="14"/>
                <w:szCs w:val="14"/>
                <w:color w:val="auto"/>
                <w:w w:val="84"/>
              </w:rPr>
              <w:t>)</w:t>
            </w:r>
          </w:p>
        </w:tc>
        <w:tc>
          <w:tcPr>
            <w:tcW w:w="10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13,029,543,649</w:t>
            </w:r>
          </w:p>
        </w:tc>
        <w:tc>
          <w:tcPr>
            <w:tcW w:w="220" w:type="dxa"/>
            <w:vAlign w:val="bottom"/>
          </w:tcPr>
          <w:p>
            <w:pPr>
              <w:spacing w:after="0"/>
              <w:rPr>
                <w:sz w:val="13"/>
                <w:szCs w:val="13"/>
                <w:color w:val="auto"/>
              </w:rPr>
            </w:pP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478,058,642</w:t>
            </w:r>
          </w:p>
        </w:tc>
        <w:tc>
          <w:tcPr>
            <w:tcW w:w="220" w:type="dxa"/>
            <w:vAlign w:val="bottom"/>
          </w:tcPr>
          <w:p>
            <w:pPr>
              <w:spacing w:after="0"/>
              <w:rPr>
                <w:sz w:val="13"/>
                <w:szCs w:val="13"/>
                <w:color w:val="auto"/>
              </w:rPr>
            </w:pPr>
          </w:p>
        </w:tc>
        <w:tc>
          <w:tcPr>
            <w:tcW w:w="10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13,507,602,291</w:t>
            </w:r>
          </w:p>
        </w:tc>
        <w:tc>
          <w:tcPr>
            <w:tcW w:w="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8"/>
        </w:trPr>
        <w:tc>
          <w:tcPr>
            <w:tcW w:w="8620" w:type="dxa"/>
            <w:vAlign w:val="bottom"/>
          </w:tcPr>
          <w:p>
            <w:pPr>
              <w:jc w:val="center"/>
              <w:ind w:left="2550"/>
              <w:spacing w:after="0"/>
              <w:rPr>
                <w:sz w:val="20"/>
                <w:szCs w:val="20"/>
                <w:color w:val="auto"/>
              </w:rPr>
            </w:pPr>
            <w:r>
              <w:rPr>
                <w:rFonts w:ascii="Times New Roman" w:cs="Times New Roman" w:eastAsia="Times New Roman" w:hAnsi="Times New Roman"/>
                <w:sz w:val="18"/>
                <w:szCs w:val="18"/>
                <w:b w:val="1"/>
                <w:bCs w:val="1"/>
                <w:color w:val="auto"/>
                <w:w w:val="99"/>
              </w:rPr>
              <w:t>Hansol Inticube Co. Ltd.</w:t>
            </w:r>
          </w:p>
        </w:tc>
        <w:tc>
          <w:tcPr>
            <w:tcW w:w="1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620" w:type="dxa"/>
            <w:vAlign w:val="bottom"/>
          </w:tcPr>
          <w:p>
            <w:pPr>
              <w:jc w:val="center"/>
              <w:ind w:left="2530"/>
              <w:spacing w:after="0"/>
              <w:rPr>
                <w:sz w:val="20"/>
                <w:szCs w:val="20"/>
                <w:color w:val="auto"/>
              </w:rPr>
            </w:pPr>
            <w:r>
              <w:rPr>
                <w:rFonts w:ascii="Times New Roman" w:cs="Times New Roman" w:eastAsia="Times New Roman" w:hAnsi="Times New Roman"/>
                <w:sz w:val="18"/>
                <w:szCs w:val="18"/>
                <w:b w:val="1"/>
                <w:bCs w:val="1"/>
                <w:color w:val="auto"/>
                <w:w w:val="98"/>
              </w:rPr>
              <w:t>CONSOLIDATED STATEMENT OF CASH FLOWS</w:t>
            </w:r>
          </w:p>
        </w:tc>
        <w:tc>
          <w:tcPr>
            <w:tcW w:w="1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620" w:type="dxa"/>
            <w:vAlign w:val="bottom"/>
          </w:tcPr>
          <w:p>
            <w:pPr>
              <w:jc w:val="center"/>
              <w:ind w:left="2550"/>
              <w:spacing w:after="0"/>
              <w:rPr>
                <w:sz w:val="20"/>
                <w:szCs w:val="20"/>
                <w:color w:val="auto"/>
              </w:rPr>
            </w:pPr>
            <w:r>
              <w:rPr>
                <w:rFonts w:ascii="Times New Roman" w:cs="Times New Roman" w:eastAsia="Times New Roman" w:hAnsi="Times New Roman"/>
                <w:sz w:val="18"/>
                <w:szCs w:val="18"/>
                <w:b w:val="1"/>
                <w:bCs w:val="1"/>
                <w:color w:val="auto"/>
                <w:w w:val="99"/>
              </w:rPr>
              <w:t>For the Year Ended December 31, 2025</w:t>
            </w:r>
          </w:p>
        </w:tc>
        <w:tc>
          <w:tcPr>
            <w:tcW w:w="1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6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4"/>
                <w:szCs w:val="24"/>
                <w:color w:val="auto"/>
              </w:rPr>
            </w:pPr>
          </w:p>
        </w:tc>
      </w:tr>
      <w:tr>
        <w:trPr>
          <w:trHeight w:val="210"/>
        </w:trPr>
        <w:tc>
          <w:tcPr>
            <w:tcW w:w="86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(in Korean won)</w:t>
            </w:r>
          </w:p>
        </w:tc>
        <w:tc>
          <w:tcPr>
            <w:tcW w:w="100" w:type="dxa"/>
            <w:vAlign w:val="bottom"/>
          </w:tcPr>
          <w:p>
            <w:pPr>
              <w:spacing w:after="0"/>
              <w:rPr>
                <w:sz w:val="18"/>
                <w:szCs w:val="18"/>
                <w:color w:val="auto"/>
              </w:rPr>
            </w:pPr>
          </w:p>
        </w:tc>
      </w:tr>
      <w:tr>
        <w:trPr>
          <w:trHeight w:val="216"/>
        </w:trPr>
        <w:tc>
          <w:tcPr>
            <w:tcW w:w="8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 for the year</w:t>
            </w:r>
          </w:p>
        </w:tc>
        <w:tc>
          <w:tcPr>
            <w:tcW w:w="1220" w:type="dxa"/>
            <w:vAlign w:val="bottom"/>
          </w:tcPr>
          <w:p>
            <w:pPr>
              <w:ind w:left="94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895,678,504</w:t>
            </w:r>
          </w:p>
        </w:tc>
      </w:tr>
      <w:tr>
        <w:trPr>
          <w:trHeight w:val="216"/>
        </w:trPr>
        <w:tc>
          <w:tcPr>
            <w:tcW w:w="8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1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3,155,306,521</w:t>
            </w:r>
          </w:p>
        </w:tc>
      </w:tr>
      <w:tr>
        <w:trPr>
          <w:trHeight w:val="216"/>
        </w:trPr>
        <w:tc>
          <w:tcPr>
            <w:tcW w:w="8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Severance Benefits</w:t>
            </w:r>
          </w:p>
        </w:tc>
        <w:tc>
          <w:tcPr>
            <w:tcW w:w="122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1,282,641,573</w:t>
            </w:r>
          </w:p>
        </w:tc>
      </w:tr>
      <w:tr>
        <w:trPr>
          <w:trHeight w:val="216"/>
        </w:trPr>
        <w:tc>
          <w:tcPr>
            <w:tcW w:w="8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Depreciation</w:t>
            </w:r>
          </w:p>
        </w:tc>
        <w:tc>
          <w:tcPr>
            <w:tcW w:w="1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1,315,020,883</w:t>
            </w:r>
          </w:p>
        </w:tc>
      </w:tr>
      <w:tr>
        <w:trPr>
          <w:trHeight w:val="216"/>
        </w:trPr>
        <w:tc>
          <w:tcPr>
            <w:tcW w:w="8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Amortization</w:t>
            </w:r>
          </w:p>
        </w:tc>
        <w:tc>
          <w:tcPr>
            <w:tcW w:w="122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246,413,748</w:t>
            </w:r>
          </w:p>
        </w:tc>
      </w:tr>
      <w:tr>
        <w:trPr>
          <w:trHeight w:val="216"/>
        </w:trPr>
        <w:tc>
          <w:tcPr>
            <w:tcW w:w="8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Reversal of Inventory valuation gains</w:t>
            </w:r>
          </w:p>
        </w:tc>
        <w:tc>
          <w:tcPr>
            <w:tcW w:w="1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(1,499,309)</w:t>
            </w:r>
          </w:p>
        </w:tc>
      </w:tr>
      <w:tr>
        <w:trPr>
          <w:trHeight w:val="216"/>
        </w:trPr>
        <w:tc>
          <w:tcPr>
            <w:tcW w:w="8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expenses</w:t>
            </w:r>
          </w:p>
        </w:tc>
        <w:tc>
          <w:tcPr>
            <w:tcW w:w="122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187,577,073</w:t>
            </w:r>
          </w:p>
        </w:tc>
      </w:tr>
      <w:tr>
        <w:trPr>
          <w:trHeight w:val="216"/>
        </w:trPr>
        <w:tc>
          <w:tcPr>
            <w:tcW w:w="8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Reversal of mileage provision</w:t>
            </w:r>
          </w:p>
        </w:tc>
        <w:tc>
          <w:tcPr>
            <w:tcW w:w="1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(46,153,570)</w:t>
            </w:r>
          </w:p>
        </w:tc>
      </w:tr>
      <w:tr>
        <w:trPr>
          <w:trHeight w:val="216"/>
        </w:trPr>
        <w:tc>
          <w:tcPr>
            <w:tcW w:w="8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Losses on foreign currency translation</w:t>
            </w:r>
          </w:p>
        </w:tc>
        <w:tc>
          <w:tcPr>
            <w:tcW w:w="122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2,912,628</w:t>
            </w:r>
          </w:p>
        </w:tc>
      </w:tr>
      <w:tr>
        <w:trPr>
          <w:trHeight w:val="216"/>
        </w:trPr>
        <w:tc>
          <w:tcPr>
            <w:tcW w:w="8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Losses on disposal of property and equipment</w:t>
            </w:r>
          </w:p>
        </w:tc>
        <w:tc>
          <w:tcPr>
            <w:tcW w:w="1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7,357,574</w:t>
            </w:r>
          </w:p>
        </w:tc>
      </w:tr>
      <w:tr>
        <w:trPr>
          <w:trHeight w:val="216"/>
        </w:trPr>
        <w:tc>
          <w:tcPr>
            <w:tcW w:w="8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Long-term employee benefits</w:t>
            </w:r>
          </w:p>
        </w:tc>
        <w:tc>
          <w:tcPr>
            <w:tcW w:w="122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43,071,589</w:t>
            </w:r>
          </w:p>
        </w:tc>
      </w:tr>
      <w:tr>
        <w:trPr>
          <w:trHeight w:val="216"/>
        </w:trPr>
        <w:tc>
          <w:tcPr>
            <w:tcW w:w="8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Provision for warranty obligations</w:t>
            </w:r>
          </w:p>
        </w:tc>
        <w:tc>
          <w:tcPr>
            <w:tcW w:w="1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183,250,784</w:t>
            </w:r>
          </w:p>
        </w:tc>
      </w:tr>
      <w:tr>
        <w:trPr>
          <w:trHeight w:val="216"/>
        </w:trPr>
        <w:tc>
          <w:tcPr>
            <w:tcW w:w="8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Income taxes</w:t>
            </w:r>
          </w:p>
        </w:tc>
        <w:tc>
          <w:tcPr>
            <w:tcW w:w="122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148,133,704</w:t>
            </w:r>
          </w:p>
        </w:tc>
      </w:tr>
      <w:tr>
        <w:trPr>
          <w:trHeight w:val="216"/>
        </w:trPr>
        <w:tc>
          <w:tcPr>
            <w:tcW w:w="8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income</w:t>
            </w:r>
          </w:p>
        </w:tc>
        <w:tc>
          <w:tcPr>
            <w:tcW w:w="1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(113,054,229)</w:t>
            </w:r>
          </w:p>
        </w:tc>
      </w:tr>
      <w:tr>
        <w:trPr>
          <w:trHeight w:val="216"/>
        </w:trPr>
        <w:tc>
          <w:tcPr>
            <w:tcW w:w="8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Gains on foreign currency translation</w:t>
            </w:r>
          </w:p>
        </w:tc>
        <w:tc>
          <w:tcPr>
            <w:tcW w:w="122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(5,467,918)</w:t>
            </w:r>
          </w:p>
        </w:tc>
      </w:tr>
      <w:tr>
        <w:trPr>
          <w:trHeight w:val="216"/>
        </w:trPr>
        <w:tc>
          <w:tcPr>
            <w:tcW w:w="8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Reversal of loss provision on service contracts</w:t>
            </w:r>
          </w:p>
        </w:tc>
        <w:tc>
          <w:tcPr>
            <w:tcW w:w="1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(21,693,760)</w:t>
            </w:r>
          </w:p>
        </w:tc>
      </w:tr>
      <w:tr>
        <w:trPr>
          <w:trHeight w:val="216"/>
        </w:trPr>
        <w:tc>
          <w:tcPr>
            <w:tcW w:w="8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Gains on disposal of property, plant and equipment</w:t>
            </w:r>
          </w:p>
        </w:tc>
        <w:tc>
          <w:tcPr>
            <w:tcW w:w="122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(27,064,392)</w:t>
            </w:r>
          </w:p>
        </w:tc>
      </w:tr>
      <w:tr>
        <w:trPr>
          <w:trHeight w:val="216"/>
        </w:trPr>
        <w:tc>
          <w:tcPr>
            <w:tcW w:w="8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Gains on valuation of financial assets at fair value through profit or loss</w:t>
            </w:r>
          </w:p>
        </w:tc>
        <w:tc>
          <w:tcPr>
            <w:tcW w:w="1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(19,795,319)</w:t>
            </w:r>
          </w:p>
        </w:tc>
      </w:tr>
      <w:tr>
        <w:trPr>
          <w:trHeight w:val="216"/>
        </w:trPr>
        <w:tc>
          <w:tcPr>
            <w:tcW w:w="8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Reversal of share-based payments expenses</w:t>
            </w:r>
          </w:p>
        </w:tc>
        <w:tc>
          <w:tcPr>
            <w:tcW w:w="122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(26,344,538)</w:t>
            </w:r>
          </w:p>
        </w:tc>
      </w:tr>
      <w:tr>
        <w:trPr>
          <w:trHeight w:val="216"/>
        </w:trPr>
        <w:tc>
          <w:tcPr>
            <w:tcW w:w="8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Changes in assets and liabilities from operating activities</w:t>
            </w:r>
          </w:p>
        </w:tc>
        <w:tc>
          <w:tcPr>
            <w:tcW w:w="1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(1,795,689,397)</w:t>
            </w:r>
          </w:p>
        </w:tc>
      </w:tr>
      <w:tr>
        <w:trPr>
          <w:trHeight w:val="216"/>
        </w:trPr>
        <w:tc>
          <w:tcPr>
            <w:tcW w:w="8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Trade receivables</w:t>
            </w:r>
          </w:p>
        </w:tc>
        <w:tc>
          <w:tcPr>
            <w:tcW w:w="122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(2,446,600,729)</w:t>
            </w:r>
          </w:p>
        </w:tc>
      </w:tr>
      <w:tr>
        <w:trPr>
          <w:trHeight w:val="216"/>
        </w:trPr>
        <w:tc>
          <w:tcPr>
            <w:tcW w:w="8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receivables</w:t>
            </w:r>
          </w:p>
        </w:tc>
        <w:tc>
          <w:tcPr>
            <w:tcW w:w="1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(1,759,672)</w:t>
            </w:r>
          </w:p>
        </w:tc>
      </w:tr>
      <w:tr>
        <w:trPr>
          <w:trHeight w:val="216"/>
        </w:trPr>
        <w:tc>
          <w:tcPr>
            <w:tcW w:w="8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Contract assets</w:t>
            </w:r>
          </w:p>
        </w:tc>
        <w:tc>
          <w:tcPr>
            <w:tcW w:w="122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2,438,206,617</w:t>
            </w:r>
          </w:p>
        </w:tc>
      </w:tr>
      <w:tr>
        <w:trPr>
          <w:trHeight w:val="216"/>
        </w:trPr>
        <w:tc>
          <w:tcPr>
            <w:tcW w:w="8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Inventories, net</w:t>
            </w:r>
          </w:p>
        </w:tc>
        <w:tc>
          <w:tcPr>
            <w:tcW w:w="1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719,990,699</w:t>
            </w:r>
          </w:p>
        </w:tc>
      </w:tr>
      <w:tr>
        <w:trPr>
          <w:trHeight w:val="216"/>
        </w:trPr>
        <w:tc>
          <w:tcPr>
            <w:tcW w:w="8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assets</w:t>
            </w:r>
          </w:p>
        </w:tc>
        <w:tc>
          <w:tcPr>
            <w:tcW w:w="122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(641,035,118)</w:t>
            </w:r>
          </w:p>
        </w:tc>
      </w:tr>
      <w:tr>
        <w:trPr>
          <w:trHeight w:val="216"/>
        </w:trPr>
        <w:tc>
          <w:tcPr>
            <w:tcW w:w="8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Trade payables</w:t>
            </w:r>
          </w:p>
        </w:tc>
        <w:tc>
          <w:tcPr>
            <w:tcW w:w="1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1,801,153,623</w:t>
            </w:r>
          </w:p>
        </w:tc>
      </w:tr>
      <w:tr>
        <w:trPr>
          <w:trHeight w:val="216"/>
        </w:trPr>
        <w:tc>
          <w:tcPr>
            <w:tcW w:w="8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payables</w:t>
            </w:r>
          </w:p>
        </w:tc>
        <w:tc>
          <w:tcPr>
            <w:tcW w:w="122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22,304,842</w:t>
            </w:r>
          </w:p>
        </w:tc>
      </w:tr>
      <w:tr>
        <w:trPr>
          <w:trHeight w:val="216"/>
        </w:trPr>
        <w:tc>
          <w:tcPr>
            <w:tcW w:w="8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Contract liabilities</w:t>
            </w:r>
          </w:p>
        </w:tc>
        <w:tc>
          <w:tcPr>
            <w:tcW w:w="1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(2,091,279,532)</w:t>
            </w:r>
          </w:p>
        </w:tc>
      </w:tr>
      <w:tr>
        <w:trPr>
          <w:trHeight w:val="216"/>
        </w:trPr>
        <w:tc>
          <w:tcPr>
            <w:tcW w:w="8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liabilities</w:t>
            </w:r>
          </w:p>
        </w:tc>
        <w:tc>
          <w:tcPr>
            <w:tcW w:w="122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361,081,649</w:t>
            </w:r>
          </w:p>
        </w:tc>
      </w:tr>
      <w:tr>
        <w:trPr>
          <w:trHeight w:val="216"/>
        </w:trPr>
        <w:tc>
          <w:tcPr>
            <w:tcW w:w="8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Defined benefit liabilities</w:t>
            </w:r>
          </w:p>
        </w:tc>
        <w:tc>
          <w:tcPr>
            <w:tcW w:w="1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(1,927,751,776)</w:t>
            </w:r>
          </w:p>
        </w:tc>
      </w:tr>
      <w:tr>
        <w:trPr>
          <w:trHeight w:val="216"/>
        </w:trPr>
        <w:tc>
          <w:tcPr>
            <w:tcW w:w="8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Provision for long-term employee benefits</w:t>
            </w:r>
          </w:p>
        </w:tc>
        <w:tc>
          <w:tcPr>
            <w:tcW w:w="122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(30,000,000)</w:t>
            </w:r>
          </w:p>
        </w:tc>
      </w:tr>
      <w:tr>
        <w:trPr>
          <w:trHeight w:val="216"/>
        </w:trPr>
        <w:tc>
          <w:tcPr>
            <w:tcW w:w="8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received</w:t>
            </w:r>
          </w:p>
        </w:tc>
        <w:tc>
          <w:tcPr>
            <w:tcW w:w="1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43,473,972</w:t>
            </w:r>
          </w:p>
        </w:tc>
      </w:tr>
      <w:tr>
        <w:trPr>
          <w:trHeight w:val="216"/>
        </w:trPr>
        <w:tc>
          <w:tcPr>
            <w:tcW w:w="8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paid (other than lease)</w:t>
            </w:r>
          </w:p>
        </w:tc>
        <w:tc>
          <w:tcPr>
            <w:tcW w:w="122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(30,880,345)</w:t>
            </w:r>
          </w:p>
        </w:tc>
      </w:tr>
      <w:tr>
        <w:trPr>
          <w:trHeight w:val="216"/>
        </w:trPr>
        <w:tc>
          <w:tcPr>
            <w:tcW w:w="8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paid (lease)</w:t>
            </w:r>
          </w:p>
        </w:tc>
        <w:tc>
          <w:tcPr>
            <w:tcW w:w="1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(52,376,533)</w:t>
            </w:r>
          </w:p>
        </w:tc>
      </w:tr>
      <w:tr>
        <w:trPr>
          <w:trHeight w:val="216"/>
        </w:trPr>
        <w:tc>
          <w:tcPr>
            <w:tcW w:w="8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Income tax refund (paid)</w:t>
            </w:r>
          </w:p>
        </w:tc>
        <w:tc>
          <w:tcPr>
            <w:tcW w:w="122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10,485,670</w:t>
            </w:r>
          </w:p>
        </w:tc>
      </w:tr>
      <w:tr>
        <w:trPr>
          <w:trHeight w:val="210"/>
        </w:trPr>
        <w:tc>
          <w:tcPr>
            <w:tcW w:w="8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inflow from operating activities</w:t>
            </w:r>
          </w:p>
        </w:tc>
        <w:tc>
          <w:tcPr>
            <w:tcW w:w="122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2,225,998,392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8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Cash flows provided by investing activities</w:t>
            </w:r>
          </w:p>
        </w:tc>
        <w:tc>
          <w:tcPr>
            <w:tcW w:w="1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132,411,910</w:t>
            </w:r>
          </w:p>
        </w:tc>
      </w:tr>
      <w:tr>
        <w:trPr>
          <w:trHeight w:val="216"/>
        </w:trPr>
        <w:tc>
          <w:tcPr>
            <w:tcW w:w="8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Decrease in Short-term financial instruments</w:t>
            </w:r>
          </w:p>
        </w:tc>
        <w:tc>
          <w:tcPr>
            <w:tcW w:w="122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12,600,000</w:t>
            </w:r>
          </w:p>
        </w:tc>
      </w:tr>
      <w:tr>
        <w:trPr>
          <w:trHeight w:val="216"/>
        </w:trPr>
        <w:tc>
          <w:tcPr>
            <w:tcW w:w="8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Proceeds from disposal of property and equipment</w:t>
            </w:r>
          </w:p>
        </w:tc>
        <w:tc>
          <w:tcPr>
            <w:tcW w:w="1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49,450,310</w:t>
            </w:r>
          </w:p>
        </w:tc>
      </w:tr>
      <w:tr>
        <w:trPr>
          <w:trHeight w:val="216"/>
        </w:trPr>
        <w:tc>
          <w:tcPr>
            <w:tcW w:w="8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Collection of deposites</w:t>
            </w:r>
          </w:p>
        </w:tc>
        <w:tc>
          <w:tcPr>
            <w:tcW w:w="122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70,361,600</w:t>
            </w:r>
          </w:p>
        </w:tc>
      </w:tr>
      <w:tr>
        <w:trPr>
          <w:trHeight w:val="216"/>
        </w:trPr>
        <w:tc>
          <w:tcPr>
            <w:tcW w:w="8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Cash flows used in investing activities</w:t>
            </w:r>
          </w:p>
        </w:tc>
        <w:tc>
          <w:tcPr>
            <w:tcW w:w="1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(436,171,931)</w:t>
            </w:r>
          </w:p>
        </w:tc>
      </w:tr>
      <w:tr>
        <w:trPr>
          <w:trHeight w:val="216"/>
        </w:trPr>
        <w:tc>
          <w:tcPr>
            <w:tcW w:w="8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Increase in Short-term financial instruments</w:t>
            </w:r>
          </w:p>
        </w:tc>
        <w:tc>
          <w:tcPr>
            <w:tcW w:w="122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(5,970,000)</w:t>
            </w:r>
          </w:p>
        </w:tc>
      </w:tr>
      <w:tr>
        <w:trPr>
          <w:trHeight w:val="216"/>
        </w:trPr>
        <w:tc>
          <w:tcPr>
            <w:tcW w:w="8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1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(280,684,528)</w:t>
            </w:r>
          </w:p>
        </w:tc>
      </w:tr>
      <w:tr>
        <w:trPr>
          <w:trHeight w:val="216"/>
        </w:trPr>
        <w:tc>
          <w:tcPr>
            <w:tcW w:w="8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Purchase of intangible assets</w:t>
            </w:r>
          </w:p>
        </w:tc>
        <w:tc>
          <w:tcPr>
            <w:tcW w:w="122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(49,155,803)</w:t>
            </w:r>
          </w:p>
        </w:tc>
      </w:tr>
      <w:tr>
        <w:trPr>
          <w:trHeight w:val="216"/>
        </w:trPr>
        <w:tc>
          <w:tcPr>
            <w:tcW w:w="8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Increase in deposites</w:t>
            </w:r>
          </w:p>
        </w:tc>
        <w:tc>
          <w:tcPr>
            <w:tcW w:w="1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(20,361,600)</w:t>
            </w:r>
          </w:p>
        </w:tc>
      </w:tr>
      <w:tr>
        <w:trPr>
          <w:trHeight w:val="216"/>
        </w:trPr>
        <w:tc>
          <w:tcPr>
            <w:tcW w:w="8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Acquisition of financial assets at fair value through profit or loss</w:t>
            </w:r>
          </w:p>
        </w:tc>
        <w:tc>
          <w:tcPr>
            <w:tcW w:w="122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(80,000,000)</w:t>
            </w:r>
          </w:p>
        </w:tc>
      </w:tr>
      <w:tr>
        <w:trPr>
          <w:trHeight w:val="209"/>
        </w:trPr>
        <w:tc>
          <w:tcPr>
            <w:tcW w:w="8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outflow from investing activities</w:t>
            </w:r>
          </w:p>
        </w:tc>
        <w:tc>
          <w:tcPr>
            <w:tcW w:w="122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(303,760,021)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8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Cash flows provided by financing activities</w:t>
            </w:r>
          </w:p>
        </w:tc>
        <w:tc>
          <w:tcPr>
            <w:tcW w:w="1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10,572,600,441</w:t>
            </w:r>
          </w:p>
        </w:tc>
      </w:tr>
      <w:tr>
        <w:trPr>
          <w:trHeight w:val="216"/>
        </w:trPr>
        <w:tc>
          <w:tcPr>
            <w:tcW w:w="8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Increase in Short-term borrowings</w:t>
            </w:r>
          </w:p>
        </w:tc>
        <w:tc>
          <w:tcPr>
            <w:tcW w:w="122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10,572,600,441</w:t>
            </w:r>
          </w:p>
        </w:tc>
      </w:tr>
      <w:tr>
        <w:trPr>
          <w:trHeight w:val="216"/>
        </w:trPr>
        <w:tc>
          <w:tcPr>
            <w:tcW w:w="8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Cash flows used in financing activities</w:t>
            </w:r>
          </w:p>
        </w:tc>
        <w:tc>
          <w:tcPr>
            <w:tcW w:w="1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(12,493,017,757)</w:t>
            </w:r>
          </w:p>
        </w:tc>
      </w:tr>
      <w:tr>
        <w:trPr>
          <w:trHeight w:val="216"/>
        </w:trPr>
        <w:tc>
          <w:tcPr>
            <w:tcW w:w="8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Decrease in Short-term borrowings</w:t>
            </w:r>
          </w:p>
        </w:tc>
        <w:tc>
          <w:tcPr>
            <w:tcW w:w="122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(11,650,896,200)</w:t>
            </w:r>
          </w:p>
        </w:tc>
      </w:tr>
      <w:tr>
        <w:trPr>
          <w:trHeight w:val="216"/>
        </w:trPr>
        <w:tc>
          <w:tcPr>
            <w:tcW w:w="8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Repayment of lease liabilities</w:t>
            </w:r>
          </w:p>
        </w:tc>
        <w:tc>
          <w:tcPr>
            <w:tcW w:w="1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(842,121,557)</w:t>
            </w:r>
          </w:p>
        </w:tc>
      </w:tr>
      <w:tr>
        <w:trPr>
          <w:trHeight w:val="209"/>
        </w:trPr>
        <w:tc>
          <w:tcPr>
            <w:tcW w:w="8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cash outflow from financing activities</w:t>
            </w:r>
          </w:p>
        </w:tc>
        <w:tc>
          <w:tcPr>
            <w:tcW w:w="1220" w:type="dxa"/>
            <w:vAlign w:val="bottom"/>
            <w:tcBorders>
              <w:bottom w:val="single" w:sz="8" w:color="CCEEFF"/>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(1,920,417,316)</w:t>
            </w:r>
          </w:p>
        </w:tc>
        <w:tc>
          <w:tcPr>
            <w:tcW w:w="100" w:type="dxa"/>
            <w:vAlign w:val="bottom"/>
            <w:tcBorders>
              <w:bottom w:val="single" w:sz="8" w:color="CCEEFF"/>
            </w:tcBorders>
          </w:tcPr>
          <w:p>
            <w:pPr>
              <w:spacing w:after="0"/>
              <w:rPr>
                <w:sz w:val="18"/>
                <w:szCs w:val="18"/>
                <w:color w:val="auto"/>
              </w:rPr>
            </w:pPr>
          </w:p>
        </w:tc>
      </w:tr>
      <w:tr>
        <w:trPr>
          <w:trHeight w:val="209"/>
        </w:trPr>
        <w:tc>
          <w:tcPr>
            <w:tcW w:w="8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increase in cash and cash equivalents</w:t>
            </w:r>
          </w:p>
        </w:tc>
        <w:tc>
          <w:tcPr>
            <w:tcW w:w="1220" w:type="dxa"/>
            <w:vAlign w:val="bottom"/>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1,821,055</w:t>
            </w:r>
          </w:p>
        </w:tc>
        <w:tc>
          <w:tcPr>
            <w:tcW w:w="100" w:type="dxa"/>
            <w:vAlign w:val="bottom"/>
            <w:shd w:val="clear" w:color="auto" w:fill="CCEEFF"/>
          </w:tcPr>
          <w:p>
            <w:pPr>
              <w:spacing w:after="0"/>
              <w:rPr>
                <w:sz w:val="18"/>
                <w:szCs w:val="18"/>
                <w:color w:val="auto"/>
              </w:rPr>
            </w:pPr>
          </w:p>
        </w:tc>
      </w:tr>
      <w:tr>
        <w:trPr>
          <w:trHeight w:val="209"/>
        </w:trPr>
        <w:tc>
          <w:tcPr>
            <w:tcW w:w="8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at beginning of the year</w:t>
            </w:r>
          </w:p>
        </w:tc>
        <w:tc>
          <w:tcPr>
            <w:tcW w:w="122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2,293,537,863</w:t>
            </w:r>
          </w:p>
        </w:tc>
        <w:tc>
          <w:tcPr>
            <w:tcW w:w="100" w:type="dxa"/>
            <w:vAlign w:val="bottom"/>
            <w:tcBorders>
              <w:bottom w:val="single" w:sz="8" w:color="CCEEFF"/>
            </w:tcBorders>
          </w:tcPr>
          <w:p>
            <w:pPr>
              <w:spacing w:after="0"/>
              <w:rPr>
                <w:sz w:val="18"/>
                <w:szCs w:val="18"/>
                <w:color w:val="auto"/>
              </w:rPr>
            </w:pPr>
          </w:p>
        </w:tc>
      </w:tr>
      <w:tr>
        <w:trPr>
          <w:trHeight w:val="209"/>
        </w:trPr>
        <w:tc>
          <w:tcPr>
            <w:tcW w:w="8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at end of the year</w:t>
            </w:r>
          </w:p>
        </w:tc>
        <w:tc>
          <w:tcPr>
            <w:tcW w:w="122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2,295,358,918</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
        </w:trPr>
        <w:tc>
          <w:tcPr>
            <w:tcW w:w="86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HANSOL INTICUBE CO.,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ind w:right="9260" w:firstLine="8"/>
        <w:spacing w:after="0" w:line="503" w:lineRule="auto"/>
        <w:tabs>
          <w:tab w:leader="none" w:pos="18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Corporate Information A. Company overview</w:t>
      </w:r>
    </w:p>
    <w:p>
      <w:pPr>
        <w:jc w:val="both"/>
        <w:spacing w:after="0" w:line="261" w:lineRule="auto"/>
        <w:rPr>
          <w:sz w:val="20"/>
          <w:szCs w:val="20"/>
          <w:color w:val="auto"/>
        </w:rPr>
      </w:pPr>
      <w:r>
        <w:rPr>
          <w:rFonts w:ascii="Times New Roman" w:cs="Times New Roman" w:eastAsia="Times New Roman" w:hAnsi="Times New Roman"/>
          <w:sz w:val="18"/>
          <w:szCs w:val="18"/>
          <w:color w:val="auto"/>
        </w:rPr>
        <w:t>Hansol Inticube Co., Ltd. (the “Parent Company”) was incorporated on December 15, 2003, as a result of the spin-off of the business divisions of Locus Co., Ltd., the enterprise communications and wireless internet businesses. In accordance with applicable laws and regulations, the Parent Company applied for re-registration of its shares with the Korea Securities Dealers Association on December 24, 2003, and trading of its shares on the KOSDAQ market resumed on January 8, 2004. On June 27, 2008, the Parent Company changed its corporate name from Inticube Co., Ltd. to Hansol Inticube Co., Ltd.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Parent Company’s paid-in capital is Korean Won 6,939,761 thousand and major shareholders and their respective percentage of ownership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2025 are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40" w:type="dxa"/>
            <w:vAlign w:val="bottom"/>
          </w:tcPr>
          <w:p>
            <w:pPr>
              <w:spacing w:after="0"/>
              <w:rPr>
                <w:sz w:val="18"/>
                <w:szCs w:val="18"/>
                <w:color w:val="auto"/>
              </w:rPr>
            </w:pPr>
          </w:p>
        </w:tc>
        <w:tc>
          <w:tcPr>
            <w:tcW w:w="2600" w:type="dxa"/>
            <w:vAlign w:val="bottom"/>
            <w:gridSpan w:val="5"/>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38"/>
        </w:trPr>
        <w:tc>
          <w:tcPr>
            <w:tcW w:w="8640" w:type="dxa"/>
            <w:vAlign w:val="bottom"/>
          </w:tcPr>
          <w:p>
            <w:pPr>
              <w:spacing w:after="0"/>
              <w:rPr>
                <w:sz w:val="20"/>
                <w:szCs w:val="20"/>
                <w:color w:val="auto"/>
              </w:rPr>
            </w:pPr>
          </w:p>
        </w:tc>
        <w:tc>
          <w:tcPr>
            <w:tcW w:w="144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8640" w:type="dxa"/>
            <w:vAlign w:val="bottom"/>
          </w:tcPr>
          <w:p>
            <w:pPr>
              <w:spacing w:after="0"/>
              <w:rPr>
                <w:sz w:val="16"/>
                <w:szCs w:val="16"/>
                <w:color w:val="auto"/>
              </w:rPr>
            </w:pPr>
          </w:p>
        </w:tc>
        <w:tc>
          <w:tcPr>
            <w:tcW w:w="1440" w:type="dxa"/>
            <w:vAlign w:val="bottom"/>
            <w:gridSpan w:val="3"/>
          </w:tcPr>
          <w:p>
            <w:pPr>
              <w:ind w:left="140"/>
              <w:spacing w:after="0" w:line="188"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1000" w:type="dxa"/>
            <w:vAlign w:val="bottom"/>
          </w:tcPr>
          <w:p>
            <w:pPr>
              <w:jc w:val="center"/>
              <w:ind w:right="30"/>
              <w:spacing w:after="0" w:line="188" w:lineRule="exact"/>
              <w:rPr>
                <w:sz w:val="20"/>
                <w:szCs w:val="20"/>
                <w:color w:val="auto"/>
              </w:rPr>
            </w:pPr>
            <w:r>
              <w:rPr>
                <w:rFonts w:ascii="Times New Roman" w:cs="Times New Roman" w:eastAsia="Times New Roman" w:hAnsi="Times New Roman"/>
                <w:sz w:val="18"/>
                <w:szCs w:val="18"/>
                <w:b w:val="1"/>
                <w:bCs w:val="1"/>
                <w:color w:val="auto"/>
                <w:w w:val="98"/>
              </w:rPr>
              <w:t>Ownership</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864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8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Hansol Holdings Co., Ltd.</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4,719,037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34.00%</w:t>
            </w:r>
          </w:p>
        </w:tc>
        <w:tc>
          <w:tcPr>
            <w:tcW w:w="0" w:type="dxa"/>
            <w:vAlign w:val="bottom"/>
          </w:tcPr>
          <w:p>
            <w:pPr>
              <w:spacing w:after="0"/>
              <w:rPr>
                <w:sz w:val="1"/>
                <w:szCs w:val="1"/>
                <w:color w:val="auto"/>
              </w:rPr>
            </w:pPr>
          </w:p>
        </w:tc>
      </w:tr>
      <w:tr>
        <w:trPr>
          <w:trHeight w:val="216"/>
        </w:trPr>
        <w:tc>
          <w:tcPr>
            <w:tcW w:w="8640" w:type="dxa"/>
            <w:vAlign w:val="bottom"/>
          </w:tcPr>
          <w:p>
            <w:pPr>
              <w:spacing w:after="0"/>
              <w:rPr>
                <w:sz w:val="20"/>
                <w:szCs w:val="20"/>
                <w:color w:val="auto"/>
              </w:rPr>
            </w:pPr>
            <w:r>
              <w:rPr>
                <w:rFonts w:ascii="Times New Roman" w:cs="Times New Roman" w:eastAsia="Times New Roman" w:hAnsi="Times New Roman"/>
                <w:sz w:val="18"/>
                <w:szCs w:val="18"/>
                <w:color w:val="auto"/>
              </w:rPr>
              <w:t>Cho Hyun Seung</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356,526</w:t>
            </w:r>
          </w:p>
        </w:tc>
        <w:tc>
          <w:tcPr>
            <w:tcW w:w="1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2.57%</w:t>
            </w:r>
          </w:p>
        </w:tc>
        <w:tc>
          <w:tcPr>
            <w:tcW w:w="0" w:type="dxa"/>
            <w:vAlign w:val="bottom"/>
          </w:tcPr>
          <w:p>
            <w:pPr>
              <w:spacing w:after="0"/>
              <w:rPr>
                <w:sz w:val="1"/>
                <w:szCs w:val="1"/>
                <w:color w:val="auto"/>
              </w:rPr>
            </w:pPr>
          </w:p>
        </w:tc>
      </w:tr>
      <w:tr>
        <w:trPr>
          <w:trHeight w:val="216"/>
        </w:trPr>
        <w:tc>
          <w:tcPr>
            <w:tcW w:w="8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Lee Mi Sung</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788,525</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5.68%</w:t>
            </w:r>
          </w:p>
        </w:tc>
        <w:tc>
          <w:tcPr>
            <w:tcW w:w="0" w:type="dxa"/>
            <w:vAlign w:val="bottom"/>
          </w:tcPr>
          <w:p>
            <w:pPr>
              <w:spacing w:after="0"/>
              <w:rPr>
                <w:sz w:val="1"/>
                <w:szCs w:val="1"/>
                <w:color w:val="auto"/>
              </w:rPr>
            </w:pPr>
          </w:p>
        </w:tc>
      </w:tr>
      <w:tr>
        <w:trPr>
          <w:trHeight w:val="216"/>
        </w:trPr>
        <w:tc>
          <w:tcPr>
            <w:tcW w:w="8640" w:type="dxa"/>
            <w:vAlign w:val="bottom"/>
          </w:tcPr>
          <w:p>
            <w:pPr>
              <w:spacing w:after="0"/>
              <w:rPr>
                <w:sz w:val="20"/>
                <w:szCs w:val="20"/>
                <w:color w:val="auto"/>
              </w:rPr>
            </w:pPr>
            <w:r>
              <w:rPr>
                <w:rFonts w:ascii="Times New Roman" w:cs="Times New Roman" w:eastAsia="Times New Roman" w:hAnsi="Times New Roman"/>
                <w:sz w:val="18"/>
                <w:szCs w:val="18"/>
                <w:color w:val="auto"/>
              </w:rPr>
              <w:t>Employee Stock Ownership Association</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64,456</w:t>
            </w:r>
          </w:p>
        </w:tc>
        <w:tc>
          <w:tcPr>
            <w:tcW w:w="1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0.46%</w:t>
            </w:r>
          </w:p>
        </w:tc>
        <w:tc>
          <w:tcPr>
            <w:tcW w:w="0" w:type="dxa"/>
            <w:vAlign w:val="bottom"/>
          </w:tcPr>
          <w:p>
            <w:pPr>
              <w:spacing w:after="0"/>
              <w:rPr>
                <w:sz w:val="1"/>
                <w:szCs w:val="1"/>
                <w:color w:val="auto"/>
              </w:rPr>
            </w:pPr>
          </w:p>
        </w:tc>
      </w:tr>
      <w:tr>
        <w:trPr>
          <w:trHeight w:val="216"/>
        </w:trPr>
        <w:tc>
          <w:tcPr>
            <w:tcW w:w="8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Treasury shares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217,045</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1.56%</w:t>
            </w:r>
          </w:p>
        </w:tc>
        <w:tc>
          <w:tcPr>
            <w:tcW w:w="0" w:type="dxa"/>
            <w:vAlign w:val="bottom"/>
          </w:tcPr>
          <w:p>
            <w:pPr>
              <w:spacing w:after="0"/>
              <w:rPr>
                <w:sz w:val="1"/>
                <w:szCs w:val="1"/>
                <w:color w:val="auto"/>
              </w:rPr>
            </w:pPr>
          </w:p>
        </w:tc>
      </w:tr>
      <w:tr>
        <w:trPr>
          <w:trHeight w:val="216"/>
        </w:trPr>
        <w:tc>
          <w:tcPr>
            <w:tcW w:w="8640" w:type="dxa"/>
            <w:vAlign w:val="bottom"/>
          </w:tcPr>
          <w:p>
            <w:pPr>
              <w:spacing w:after="0"/>
              <w:rPr>
                <w:sz w:val="20"/>
                <w:szCs w:val="20"/>
                <w:color w:val="auto"/>
              </w:rPr>
            </w:pPr>
            <w:r>
              <w:rPr>
                <w:rFonts w:ascii="Times New Roman" w:cs="Times New Roman" w:eastAsia="Times New Roman" w:hAnsi="Times New Roman"/>
                <w:sz w:val="18"/>
                <w:szCs w:val="18"/>
                <w:color w:val="auto"/>
              </w:rPr>
              <w:t>Others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7,733,932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55.72%</w:t>
            </w:r>
          </w:p>
        </w:tc>
        <w:tc>
          <w:tcPr>
            <w:tcW w:w="0" w:type="dxa"/>
            <w:vAlign w:val="bottom"/>
          </w:tcPr>
          <w:p>
            <w:pPr>
              <w:spacing w:after="0"/>
              <w:rPr>
                <w:sz w:val="1"/>
                <w:szCs w:val="1"/>
                <w:color w:val="auto"/>
              </w:rPr>
            </w:pPr>
          </w:p>
        </w:tc>
      </w:tr>
      <w:tr>
        <w:trPr>
          <w:trHeight w:val="20"/>
        </w:trPr>
        <w:tc>
          <w:tcPr>
            <w:tcW w:w="8640" w:type="dxa"/>
            <w:vAlign w:val="bottom"/>
            <w:vMerge w:val="restart"/>
            <w:shd w:val="clear" w:color="auto" w:fill="CCEEFF"/>
          </w:tcPr>
          <w:p>
            <w:pPr>
              <w:ind w:left="4180"/>
              <w:spacing w:after="0"/>
              <w:rPr>
                <w:sz w:val="20"/>
                <w:szCs w:val="20"/>
                <w:color w:val="auto"/>
              </w:rPr>
            </w:pPr>
            <w:r>
              <w:rPr>
                <w:rFonts w:ascii="Times New Roman" w:cs="Times New Roman" w:eastAsia="Times New Roman" w:hAnsi="Times New Roman"/>
                <w:sz w:val="18"/>
                <w:szCs w:val="18"/>
                <w:color w:val="auto"/>
              </w:rPr>
              <w:t>Total</w:t>
            </w:r>
          </w:p>
        </w:tc>
        <w:tc>
          <w:tcPr>
            <w:tcW w:w="112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640" w:type="dxa"/>
            <w:vAlign w:val="bottom"/>
            <w:vMerge w:val="continue"/>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13,879,521</w:t>
            </w:r>
          </w:p>
        </w:tc>
        <w:tc>
          <w:tcPr>
            <w:tcW w:w="2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0"/>
        </w:trPr>
        <w:tc>
          <w:tcPr>
            <w:tcW w:w="86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March 10, 2026, the Group was acquired by the Playverse Co., Ltd. (“Playverse”). The purpose of these financial statements is to meet the reporting requirements of Rule 3-05 of Regulation S-X of the Securities and Exchange Commission (SEC). As a result, these financial statements do not include comparative figures, which constitutes a departure from International Financial Reporting Standards as issued by the International Accounting Standards Board (“IFRS”).</w:t>
      </w:r>
    </w:p>
    <w:p>
      <w:pPr>
        <w:spacing w:after="0" w:line="176"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B.</w:t>
      </w:r>
      <w:r>
        <w:rPr>
          <w:sz w:val="20"/>
          <w:szCs w:val="20"/>
          <w:color w:val="auto"/>
        </w:rPr>
        <w:tab/>
      </w:r>
      <w:r>
        <w:rPr>
          <w:rFonts w:ascii="Times New Roman" w:cs="Times New Roman" w:eastAsia="Times New Roman" w:hAnsi="Times New Roman"/>
          <w:sz w:val="17"/>
          <w:szCs w:val="17"/>
          <w:b w:val="1"/>
          <w:bCs w:val="1"/>
          <w:color w:val="auto"/>
        </w:rPr>
        <w:t>Consolidated subsidiaries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Details of the consolidated subsidiaries as of December 31, 2025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4"/>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Percentage of</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4"/>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ownership</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gridSpan w:val="8"/>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9"/>
              </w:rPr>
              <w:t>Incorporation</w:t>
            </w: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Subsidiary</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Location</w:t>
            </w:r>
          </w:p>
        </w:tc>
        <w:tc>
          <w:tcPr>
            <w:tcW w:w="780" w:type="dxa"/>
            <w:vAlign w:val="bottom"/>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5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Main business</w:t>
            </w: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Year</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80" w:type="dxa"/>
            <w:vAlign w:val="bottom"/>
            <w:gridSpan w:val="5"/>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Fiscal year end</w:t>
            </w:r>
          </w:p>
        </w:tc>
        <w:tc>
          <w:tcPr>
            <w:tcW w:w="0" w:type="dxa"/>
            <w:vAlign w:val="bottom"/>
          </w:tcPr>
          <w:p>
            <w:pPr>
              <w:spacing w:after="0"/>
              <w:rPr>
                <w:sz w:val="1"/>
                <w:szCs w:val="1"/>
                <w:color w:val="auto"/>
              </w:rPr>
            </w:pPr>
          </w:p>
        </w:tc>
      </w:tr>
      <w:tr>
        <w:trPr>
          <w:trHeight w:val="191"/>
        </w:trPr>
        <w:tc>
          <w:tcPr>
            <w:tcW w:w="204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STICKUS</w:t>
            </w:r>
          </w:p>
        </w:tc>
        <w:tc>
          <w:tcPr>
            <w:tcW w:w="12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w w:val="97"/>
              </w:rPr>
              <w:t>Seoul</w:t>
            </w:r>
          </w:p>
        </w:tc>
        <w:tc>
          <w:tcPr>
            <w:tcW w:w="22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480" w:type="dxa"/>
            <w:vAlign w:val="bottom"/>
            <w:tcBorders>
              <w:top w:val="single" w:sz="8" w:color="auto"/>
            </w:tcBorders>
            <w:gridSpan w:val="4"/>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Manufacture of pet food and pet</w:t>
            </w:r>
          </w:p>
        </w:tc>
        <w:tc>
          <w:tcPr>
            <w:tcW w:w="5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auto"/>
            </w:tcBorders>
            <w:gridSpan w:val="2"/>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2019</w:t>
            </w:r>
          </w:p>
        </w:tc>
        <w:tc>
          <w:tcPr>
            <w:tcW w:w="3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280" w:type="dxa"/>
            <w:vAlign w:val="bottom"/>
            <w:tcBorders>
              <w:top w:val="single" w:sz="8" w:color="auto"/>
            </w:tcBorders>
            <w:gridSpan w:val="2"/>
            <w:shd w:val="clear" w:color="auto" w:fill="CCEEFF"/>
          </w:tcPr>
          <w:p>
            <w:pPr>
              <w:jc w:val="center"/>
              <w:ind w:right="330"/>
              <w:spacing w:after="0" w:line="191" w:lineRule="exact"/>
              <w:rPr>
                <w:sz w:val="20"/>
                <w:szCs w:val="20"/>
                <w:color w:val="auto"/>
              </w:rPr>
            </w:pPr>
            <w:r>
              <w:rPr>
                <w:rFonts w:ascii="Times New Roman" w:cs="Times New Roman" w:eastAsia="Times New Roman" w:hAnsi="Times New Roman"/>
                <w:sz w:val="18"/>
                <w:szCs w:val="18"/>
                <w:color w:val="auto"/>
                <w:w w:val="99"/>
              </w:rPr>
              <w:t>December</w:t>
            </w: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1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CORPORATION</w:t>
            </w:r>
          </w:p>
        </w:tc>
        <w:tc>
          <w:tcPr>
            <w:tcW w:w="1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0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60.08%</w:t>
            </w:r>
          </w:p>
        </w:tc>
        <w:tc>
          <w:tcPr>
            <w:tcW w:w="2560" w:type="dxa"/>
            <w:vAlign w:val="bottom"/>
            <w:gridSpan w:val="5"/>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healthcare services</w:t>
            </w:r>
          </w:p>
        </w:tc>
        <w:tc>
          <w:tcPr>
            <w:tcW w:w="5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48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Condensed financial information of the subsidiaries as of and for the year ended December 31, 2025 is as follows:</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7"/>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8"/>
              </w:rPr>
              <w:t>December 31, 2025</w:t>
            </w: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2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40" w:type="dxa"/>
            <w:vAlign w:val="bottom"/>
            <w:gridSpan w:val="1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8"/>
              </w:rPr>
              <w:t>(In thousands of Korean Won)</w:t>
            </w:r>
          </w:p>
        </w:tc>
        <w:tc>
          <w:tcPr>
            <w:tcW w:w="140" w:type="dxa"/>
            <w:vAlign w:val="bottom"/>
          </w:tcPr>
          <w:p>
            <w:pPr>
              <w:spacing w:after="0"/>
              <w:rPr>
                <w:sz w:val="20"/>
                <w:szCs w:val="20"/>
                <w:color w:val="auto"/>
              </w:rPr>
            </w:pPr>
          </w:p>
        </w:tc>
        <w:tc>
          <w:tcPr>
            <w:tcW w:w="12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171"/>
        </w:trPr>
        <w:tc>
          <w:tcPr>
            <w:tcW w:w="2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gridSpan w:val="4"/>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Profit</w:t>
            </w:r>
          </w:p>
        </w:tc>
        <w:tc>
          <w:tcPr>
            <w:tcW w:w="14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profit</w:t>
            </w:r>
          </w:p>
        </w:tc>
        <w:tc>
          <w:tcPr>
            <w:tcW w:w="0" w:type="dxa"/>
            <w:vAlign w:val="bottom"/>
          </w:tcPr>
          <w:p>
            <w:pPr>
              <w:spacing w:after="0"/>
              <w:rPr>
                <w:sz w:val="1"/>
                <w:szCs w:val="1"/>
                <w:color w:val="auto"/>
              </w:rPr>
            </w:pPr>
          </w:p>
        </w:tc>
      </w:tr>
      <w:tr>
        <w:trPr>
          <w:trHeight w:val="238"/>
        </w:trPr>
        <w:tc>
          <w:tcPr>
            <w:tcW w:w="2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Subsidiary</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8"/>
              </w:rPr>
              <w:t>Total assets</w:t>
            </w:r>
          </w:p>
        </w:tc>
        <w:tc>
          <w:tcPr>
            <w:tcW w:w="200" w:type="dxa"/>
            <w:vAlign w:val="bottom"/>
          </w:tcPr>
          <w:p>
            <w:pPr>
              <w:spacing w:after="0"/>
              <w:rPr>
                <w:sz w:val="20"/>
                <w:szCs w:val="20"/>
                <w:color w:val="auto"/>
              </w:rPr>
            </w:pPr>
          </w:p>
        </w:tc>
        <w:tc>
          <w:tcPr>
            <w:tcW w:w="1340" w:type="dxa"/>
            <w:vAlign w:val="bottom"/>
            <w:gridSpan w:val="2"/>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liabilities</w:t>
            </w:r>
          </w:p>
        </w:tc>
        <w:tc>
          <w:tcPr>
            <w:tcW w:w="1120" w:type="dxa"/>
            <w:vAlign w:val="bottom"/>
            <w:gridSpan w:val="4"/>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00" w:type="dxa"/>
            <w:vAlign w:val="bottom"/>
          </w:tcPr>
          <w:p>
            <w:pPr>
              <w:spacing w:after="0"/>
              <w:rPr>
                <w:sz w:val="20"/>
                <w:szCs w:val="20"/>
                <w:color w:val="auto"/>
              </w:rPr>
            </w:pPr>
          </w:p>
        </w:tc>
        <w:tc>
          <w:tcPr>
            <w:tcW w:w="1180" w:type="dxa"/>
            <w:vAlign w:val="bottom"/>
            <w:gridSpan w:val="5"/>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for the year</w:t>
            </w:r>
          </w:p>
        </w:tc>
        <w:tc>
          <w:tcPr>
            <w:tcW w:w="140" w:type="dxa"/>
            <w:vAlign w:val="bottom"/>
          </w:tcPr>
          <w:p>
            <w:pPr>
              <w:spacing w:after="0"/>
              <w:rPr>
                <w:sz w:val="20"/>
                <w:szCs w:val="20"/>
                <w:color w:val="auto"/>
              </w:rPr>
            </w:pP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for the year</w:t>
            </w:r>
          </w:p>
        </w:tc>
        <w:tc>
          <w:tcPr>
            <w:tcW w:w="0" w:type="dxa"/>
            <w:vAlign w:val="bottom"/>
          </w:tcPr>
          <w:p>
            <w:pPr>
              <w:spacing w:after="0"/>
              <w:rPr>
                <w:sz w:val="1"/>
                <w:szCs w:val="1"/>
                <w:color w:val="auto"/>
              </w:rPr>
            </w:pPr>
          </w:p>
        </w:tc>
      </w:tr>
      <w:tr>
        <w:trPr>
          <w:trHeight w:val="210"/>
        </w:trPr>
        <w:tc>
          <w:tcPr>
            <w:tcW w:w="216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STICKUS CORPORATION</w:t>
            </w: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2,083,672</w:t>
            </w:r>
          </w:p>
        </w:tc>
        <w:tc>
          <w:tcPr>
            <w:tcW w:w="2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1,005,232</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4,567,430</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256,856</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223,006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560"/>
        </w:trPr>
        <w:tc>
          <w:tcPr>
            <w:tcW w:w="2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65"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HANSOL INTICUBE CO.,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percentage of ownership held by the non-controlling interests in the subsidiaries as of December 31, 2025 and the subsidiaries’ results of operations attributable to the non-controlling interests are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720" w:type="dxa"/>
            <w:vAlign w:val="bottom"/>
          </w:tcPr>
          <w:p>
            <w:pPr>
              <w:spacing w:after="0"/>
              <w:rPr>
                <w:sz w:val="18"/>
                <w:szCs w:val="18"/>
                <w:color w:val="auto"/>
              </w:rPr>
            </w:pPr>
          </w:p>
        </w:tc>
        <w:tc>
          <w:tcPr>
            <w:tcW w:w="15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STICKUS</w:t>
            </w:r>
          </w:p>
        </w:tc>
      </w:tr>
      <w:tr>
        <w:trPr>
          <w:trHeight w:val="238"/>
        </w:trPr>
        <w:tc>
          <w:tcPr>
            <w:tcW w:w="9720" w:type="dxa"/>
            <w:vAlign w:val="bottom"/>
          </w:tcPr>
          <w:p>
            <w:pPr>
              <w:spacing w:after="0"/>
              <w:rPr>
                <w:sz w:val="20"/>
                <w:szCs w:val="20"/>
                <w:color w:val="auto"/>
              </w:rPr>
            </w:pPr>
          </w:p>
        </w:tc>
        <w:tc>
          <w:tcPr>
            <w:tcW w:w="15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CORPORATION</w:t>
            </w:r>
          </w:p>
        </w:tc>
      </w:tr>
      <w:tr>
        <w:trPr>
          <w:trHeight w:val="187"/>
        </w:trPr>
        <w:tc>
          <w:tcPr>
            <w:tcW w:w="9720" w:type="dxa"/>
            <w:vAlign w:val="bottom"/>
          </w:tcPr>
          <w:p>
            <w:pPr>
              <w:spacing w:after="0"/>
              <w:rPr>
                <w:sz w:val="16"/>
                <w:szCs w:val="16"/>
                <w:color w:val="auto"/>
              </w:rPr>
            </w:pPr>
          </w:p>
        </w:tc>
        <w:tc>
          <w:tcPr>
            <w:tcW w:w="136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(In thousands of</w:t>
            </w:r>
          </w:p>
        </w:tc>
        <w:tc>
          <w:tcPr>
            <w:tcW w:w="160" w:type="dxa"/>
            <w:vAlign w:val="bottom"/>
          </w:tcPr>
          <w:p>
            <w:pPr>
              <w:spacing w:after="0"/>
              <w:rPr>
                <w:sz w:val="16"/>
                <w:szCs w:val="16"/>
                <w:color w:val="auto"/>
              </w:rPr>
            </w:pPr>
          </w:p>
        </w:tc>
      </w:tr>
      <w:tr>
        <w:trPr>
          <w:trHeight w:val="238"/>
        </w:trPr>
        <w:tc>
          <w:tcPr>
            <w:tcW w:w="9720" w:type="dxa"/>
            <w:vAlign w:val="bottom"/>
          </w:tcPr>
          <w:p>
            <w:pPr>
              <w:spacing w:after="0"/>
              <w:rPr>
                <w:sz w:val="20"/>
                <w:szCs w:val="20"/>
                <w:color w:val="auto"/>
              </w:rPr>
            </w:pPr>
          </w:p>
        </w:tc>
        <w:tc>
          <w:tcPr>
            <w:tcW w:w="15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Korean Won)</w:t>
            </w:r>
          </w:p>
        </w:tc>
      </w:tr>
      <w:tr>
        <w:trPr>
          <w:trHeight w:val="216"/>
        </w:trPr>
        <w:tc>
          <w:tcPr>
            <w:tcW w:w="9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Ownership percentage of non-controlling interests</w:t>
            </w:r>
          </w:p>
        </w:tc>
        <w:tc>
          <w:tcPr>
            <w:tcW w:w="1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39.92%</w:t>
            </w:r>
          </w:p>
        </w:tc>
      </w:tr>
      <w:tr>
        <w:trPr>
          <w:trHeight w:val="216"/>
        </w:trPr>
        <w:tc>
          <w:tcPr>
            <w:tcW w:w="9720" w:type="dxa"/>
            <w:vAlign w:val="bottom"/>
          </w:tcPr>
          <w:p>
            <w:pPr>
              <w:spacing w:after="0"/>
              <w:rPr>
                <w:sz w:val="20"/>
                <w:szCs w:val="20"/>
                <w:color w:val="auto"/>
              </w:rPr>
            </w:pPr>
            <w:r>
              <w:rPr>
                <w:rFonts w:ascii="Times New Roman" w:cs="Times New Roman" w:eastAsia="Times New Roman" w:hAnsi="Times New Roman"/>
                <w:sz w:val="18"/>
                <w:szCs w:val="18"/>
                <w:color w:val="auto"/>
              </w:rPr>
              <w:t>Beginning balance of non-controlling interests</w:t>
            </w: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390,025</w:t>
            </w:r>
          </w:p>
        </w:tc>
      </w:tr>
      <w:tr>
        <w:trPr>
          <w:trHeight w:val="216"/>
        </w:trPr>
        <w:tc>
          <w:tcPr>
            <w:tcW w:w="9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Actuarial gains and losses attributable to non-controlling interests</w:t>
            </w:r>
          </w:p>
        </w:tc>
        <w:tc>
          <w:tcPr>
            <w:tcW w:w="1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(13,514)</w:t>
            </w:r>
          </w:p>
        </w:tc>
      </w:tr>
      <w:tr>
        <w:trPr>
          <w:trHeight w:val="216"/>
        </w:trPr>
        <w:tc>
          <w:tcPr>
            <w:tcW w:w="9720" w:type="dxa"/>
            <w:vAlign w:val="bottom"/>
          </w:tcPr>
          <w:p>
            <w:pPr>
              <w:spacing w:after="0"/>
              <w:rPr>
                <w:sz w:val="20"/>
                <w:szCs w:val="20"/>
                <w:color w:val="auto"/>
              </w:rPr>
            </w:pPr>
            <w:r>
              <w:rPr>
                <w:rFonts w:ascii="Times New Roman" w:cs="Times New Roman" w:eastAsia="Times New Roman" w:hAnsi="Times New Roman"/>
                <w:sz w:val="18"/>
                <w:szCs w:val="18"/>
                <w:color w:val="auto"/>
              </w:rPr>
              <w:t>Profit attributable to non-controlling interests</w:t>
            </w: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101548</w:t>
            </w:r>
          </w:p>
        </w:tc>
      </w:tr>
      <w:tr>
        <w:trPr>
          <w:trHeight w:val="216"/>
        </w:trPr>
        <w:tc>
          <w:tcPr>
            <w:tcW w:w="9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balance of non-controlling interests</w:t>
            </w: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478,059</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Basis of Accounting</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followings are material accounting policies applied on the consolidated financial statements. Unless mentioned otherwise, these policies are consistent throughout the accounting periods denoted.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 New and amended standards or interpretations adopted by the Group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Group has applied the following standards and amendments for the first time for their annual reporting period commencing January 1, 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IAS 21 The Effects of Changes in Foreign Exchange Rates – Lack of Exchangeability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amendments that require exchangeability of two currencies should be assessed in order to clarify reporting of foreign currency transactions in the absence of normal-functioning foreign exchange market. The amendments also require applicable spot exchange rate should be determined when the assessment indicates two currencies lack exchangeability. The amendments are effective for annual reporting periods beginning on or after January 1, 2025, with early application permitted. The amendments do not have a significant impact on the financial statements.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IFRS 17 Insurance Contracts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the estimation techniques applied to the input variables used in the measurement of insurance contracts differ from the estimation methodologies principally required under applicable insurance laws and regulations, the Group discloses the nature of such differences and their effects on the financial statements to the extent that such information is considered relevant and material to users of the financial statements.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2.2 new and amended standards or interpretations not yet adopted by the Group</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new accounting standards and interpretations that have been published are not mandatory for December 31, 2025 reporting periods and have not been early adopted by the Group.</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IFRS 9 Financial Instruments - IFRS 7 Financial Instruments: Disclosures – Classification and Measurement of Financial Instruments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amendments clarify that a financial liability is derecognized on the ‘settlement date’ and introduce an accounting policy choice to derecognise financial liabilities settled using an electronic payment system before the settlement date. Other clarifications include the classification of financial assets with ESG linked features via additional guidance on the assessment of contingent features. Clarifications have been made to non-recourse loans and contractually linked instruments. Additional disclosures are introduced for financial instruments with contingent features and equity instruments</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HANSOL INTICUBE CO.,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classified at fair value through OCI. The amendments should be applied for annual periods beginning on or after January 1, 2026, and earlier application is permitted, with an option to early adopt the amendments for contingent features only. The Group does not expect that these amendments have a significant impact on the financial statements.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Annual Improvements to IFRS Accounting Standards – Volume 11</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amendments are annual improvements to the following standards:</w:t>
      </w:r>
    </w:p>
    <w:p>
      <w:pPr>
        <w:spacing w:after="0" w:line="225"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IFRS 1 First-time adoption of International Financial Reporting Standards;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IFRS 7 Financial instruments: Disclosures;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IFRS 9 Financial instruments;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IFRS 10 Consolidated financial statements;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IAS 7 Statement of cash flows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new standard should be applied for annual periods beginning on or after January 1, 2026, and earlier application is permitted. The Group is in review for the impact of this new standard on the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IFRS 18 Presentation and Disclosure in Financial Statements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Items in the statement of profit or loss will need to be classified into one of five categories: operating, investing, financing, income taxes and discontinued operations. IFRS 18 requires the Group to present specified totals and subtotals: ‘Operating profit or loss’, ‘Profit or loss’ and ‘Profit or loss before financing and income taxes’. Information related to management-defined performance measures should be disclosed. IFRS 18 also provides enhanced guidance on the principles of aggregation and disaggregation which focus on grouping items based on their shared characteristics. The new standard should be applied for annual periods beginning on or after January 1, 2027, and earlier application is permitted. The Group is in review for the impact of this new standard on the financial statements.</w:t>
      </w:r>
    </w:p>
    <w:p>
      <w:pPr>
        <w:spacing w:after="0" w:line="185" w:lineRule="exact"/>
        <w:rPr>
          <w:sz w:val="20"/>
          <w:szCs w:val="20"/>
          <w:color w:val="auto"/>
        </w:rPr>
      </w:pPr>
    </w:p>
    <w:p>
      <w:pPr>
        <w:jc w:val="both"/>
        <w:spacing w:after="0" w:line="220" w:lineRule="exact"/>
        <w:rPr>
          <w:sz w:val="20"/>
          <w:szCs w:val="20"/>
          <w:color w:val="auto"/>
        </w:rPr>
      </w:pPr>
      <w:r>
        <w:rPr>
          <w:rFonts w:ascii="Times New Roman" w:cs="Times New Roman" w:eastAsia="Times New Roman" w:hAnsi="Times New Roman"/>
          <w:sz w:val="18"/>
          <w:szCs w:val="18"/>
          <w:color w:val="auto"/>
        </w:rPr>
        <w:t xml:space="preserve">IFRS 18 </w:t>
      </w:r>
      <w:r>
        <w:rPr>
          <w:rFonts w:ascii="Times New Roman" w:cs="Times New Roman" w:eastAsia="Times New Roman" w:hAnsi="Times New Roman"/>
          <w:sz w:val="18"/>
          <w:szCs w:val="18"/>
          <w:i w:val="1"/>
          <w:iCs w:val="1"/>
          <w:color w:val="auto"/>
        </w:rPr>
        <w:t>Presentation and Disclosure in Financial Statements</w:t>
      </w:r>
      <w:r>
        <w:rPr>
          <w:rFonts w:ascii="Times New Roman" w:cs="Times New Roman" w:eastAsia="Times New Roman" w:hAnsi="Times New Roman"/>
          <w:sz w:val="18"/>
          <w:szCs w:val="18"/>
          <w:color w:val="auto"/>
        </w:rPr>
        <w:t xml:space="preserve"> replaces IAS 1 </w:t>
      </w:r>
      <w:r>
        <w:rPr>
          <w:rFonts w:ascii="Times New Roman" w:cs="Times New Roman" w:eastAsia="Times New Roman" w:hAnsi="Times New Roman"/>
          <w:sz w:val="18"/>
          <w:szCs w:val="18"/>
          <w:i w:val="1"/>
          <w:iCs w:val="1"/>
          <w:color w:val="auto"/>
        </w:rPr>
        <w:t>Presentation of Financial Statements</w:t>
      </w:r>
      <w:r>
        <w:rPr>
          <w:rFonts w:ascii="Times New Roman" w:cs="Times New Roman" w:eastAsia="Times New Roman" w:hAnsi="Times New Roman"/>
          <w:sz w:val="18"/>
          <w:szCs w:val="18"/>
          <w:color w:val="auto"/>
        </w:rPr>
        <w:t>. The new presentation requirements introduced by IFRS 18 are expected to enhance comparability of financial performance among peer entities, particularly with respect to the definition and presentation of operating profit or loss. In addition, the disclosure requirements related to management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defined performance measures are expected to improve transparency. The standard is effective for annual periods beginning on or after January 1, 2027, with early adoption permitted. In accordance with the retrospective application requirements of the standard, comparative information for the year ended December 31, 2026 will be restated to conform IFRS 18.</w:t>
      </w:r>
    </w:p>
    <w:p>
      <w:pPr>
        <w:spacing w:after="0" w:line="20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Group has not yet adopted IFRS 18 and is currently assessing the potential impact of the application of the standard on its consolidated financial statements. The Group is developing an implementation plan and is preparing, as scheduled, to present its first interim financial statements under IFRS 18 for the period ending March 31, 2027, and its first annual financial statements under the standard for the year ending December 31, 2027.</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HANSOL INTICUBE CO.,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2.3 Accounting policies</w:t>
      </w:r>
    </w:p>
    <w:p>
      <w:pPr>
        <w:spacing w:after="0" w:line="229" w:lineRule="exact"/>
        <w:rPr>
          <w:sz w:val="20"/>
          <w:szCs w:val="20"/>
          <w:color w:val="auto"/>
        </w:rPr>
      </w:pPr>
    </w:p>
    <w:p>
      <w:pPr>
        <w:ind w:left="780" w:hanging="448"/>
        <w:spacing w:after="0"/>
        <w:tabs>
          <w:tab w:leader="none" w:pos="7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Basis of consolidation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Group prepares its consolidated financial statements in accordance with IFRS 10, Consolidated Financial Statements.</w:t>
      </w:r>
    </w:p>
    <w:p>
      <w:pPr>
        <w:spacing w:after="0" w:line="225" w:lineRule="exact"/>
        <w:rPr>
          <w:sz w:val="20"/>
          <w:szCs w:val="20"/>
          <w:color w:val="auto"/>
        </w:rPr>
      </w:pPr>
    </w:p>
    <w:p>
      <w:pPr>
        <w:ind w:left="780" w:hanging="448"/>
        <w:spacing w:after="0"/>
        <w:tabs>
          <w:tab w:leader="none" w:pos="7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Subsidiaries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Subsidiaries are all entities over which the Parent Company has control. The Group controls the corresponding investee when it is exposed, or has rights, to variable returns from its involvement with the investee and has the ability to affect those returns through its power over the investee. Consolidation of a subsidiary begins from the date the Group obtains control of a subsidiary and ceases when the Group loses control of the subsidiary.</w:t>
      </w:r>
    </w:p>
    <w:p>
      <w:pPr>
        <w:spacing w:after="0" w:line="176" w:lineRule="exact"/>
        <w:rPr>
          <w:sz w:val="20"/>
          <w:szCs w:val="20"/>
          <w:color w:val="auto"/>
        </w:rPr>
      </w:pPr>
    </w:p>
    <w:p>
      <w:pPr>
        <w:ind w:left="780" w:hanging="448"/>
        <w:spacing w:after="0"/>
        <w:tabs>
          <w:tab w:leader="none" w:pos="7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Non-controlling interests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Non-controlling interests are measured initially at their proportionate share of the acquiree’s identifiable net assets at the date of acquisition.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the Group’s interest in a subsidiary that do not result in a loss of control are accounted for as equity transactions.</w:t>
      </w:r>
    </w:p>
    <w:p>
      <w:pPr>
        <w:spacing w:after="0" w:line="225" w:lineRule="exact"/>
        <w:rPr>
          <w:sz w:val="20"/>
          <w:szCs w:val="20"/>
          <w:color w:val="auto"/>
        </w:rPr>
      </w:pPr>
    </w:p>
    <w:p>
      <w:pPr>
        <w:ind w:left="780" w:hanging="448"/>
        <w:spacing w:after="0"/>
        <w:tabs>
          <w:tab w:leader="none" w:pos="7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control</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When the Group loses control over a subsidiary, it derecognizes the assets and liabilities of the subsidiary, and any related non-controlling interests and other components of equity. Any resulting gain or loss is recognized in profit or loss. Any interest retained in the former subsidiary is measured at fair value when control is lost.</w:t>
      </w:r>
    </w:p>
    <w:p>
      <w:pPr>
        <w:spacing w:after="0" w:line="176" w:lineRule="exact"/>
        <w:rPr>
          <w:sz w:val="20"/>
          <w:szCs w:val="20"/>
          <w:color w:val="auto"/>
        </w:rPr>
      </w:pPr>
    </w:p>
    <w:p>
      <w:pPr>
        <w:ind w:left="780" w:hanging="448"/>
        <w:spacing w:after="0"/>
        <w:tabs>
          <w:tab w:leader="none" w:pos="7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eliminated on consolidation</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Intra-group balances and transactions, and any unrealized income and expenses (except for foreign currency transaction gains or losses) arising from intra-group transactions, are eliminated. Unrealized gains arising from transactions with equity-accounted investees are eliminated against the investment to the extent of the Group’s interest in the investee. Unrealized losses are eliminated in the same way as unrealized gains, but only to the extent that there is no evidence of impairment.</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1" w:name="page12"/>
    <w:bookmarkEnd w:id="1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HANSOL INTICUBE CO., LTD.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7" w:lineRule="exact"/>
        <w:rPr>
          <w:sz w:val="20"/>
          <w:szCs w:val="20"/>
          <w:color w:val="auto"/>
        </w:rPr>
      </w:pPr>
    </w:p>
    <w:p>
      <w:pPr>
        <w:ind w:left="780" w:hanging="448"/>
        <w:spacing w:after="0"/>
        <w:tabs>
          <w:tab w:leader="none" w:pos="7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recognition</w:t>
      </w:r>
    </w:p>
    <w:p>
      <w:pPr>
        <w:spacing w:after="0" w:line="225" w:lineRule="exact"/>
        <w:rPr>
          <w:sz w:val="20"/>
          <w:szCs w:val="20"/>
          <w:color w:val="auto"/>
        </w:rPr>
      </w:pPr>
    </w:p>
    <w:p>
      <w:pPr>
        <w:ind w:left="780" w:hanging="448"/>
        <w:spacing w:after="0"/>
        <w:tabs>
          <w:tab w:leader="none" w:pos="7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revenue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Group recognizes the revenue at the point in time when the significant risks and rewards of ownership of goods are transferred to the customer.</w:t>
      </w:r>
    </w:p>
    <w:p>
      <w:pPr>
        <w:spacing w:after="0" w:line="225" w:lineRule="exact"/>
        <w:rPr>
          <w:sz w:val="20"/>
          <w:szCs w:val="20"/>
          <w:color w:val="auto"/>
        </w:rPr>
      </w:pPr>
    </w:p>
    <w:p>
      <w:pPr>
        <w:ind w:left="780" w:hanging="448"/>
        <w:spacing w:after="0"/>
        <w:tabs>
          <w:tab w:leader="none" w:pos="7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 revenue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Group recognizes the service revenue over the time, typically over the period that the services are performed.</w:t>
      </w:r>
    </w:p>
    <w:p>
      <w:pPr>
        <w:spacing w:after="0" w:line="225" w:lineRule="exact"/>
        <w:rPr>
          <w:sz w:val="20"/>
          <w:szCs w:val="20"/>
          <w:color w:val="auto"/>
        </w:rPr>
      </w:pPr>
    </w:p>
    <w:p>
      <w:pPr>
        <w:ind w:left="780" w:hanging="448"/>
        <w:spacing w:after="0"/>
        <w:tabs>
          <w:tab w:leader="none" w:pos="7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Construction revenue</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Group recognizes the construction revenue over time as the Group’s activities that involve development tailored to customer specifications result in the creation of, or an enhancement to, assets that the customer controls as the service is performed.</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Construction revenue is recognized over time using an input method based on costs incurred, that is, in proportion to the costs incurred to date relative to total estimated contract costs. Management believes that the use of the input method appropriately estimates the Group’s measure of progress in satisfying its performance obligations under IFRS 15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When the outcome of the construction revenue can be estimated reliably, the Group recognizes contract revenue and contract costs, respectively, as revenue and expenses by using the measure of progress at the end of the reporting period. The progress is measured as the ratio of cumulative contract costs incurred to date for work performed to estimated total contract costs, excluding contract costs that do not reflect the stage of completion.</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Contract modifications, claims, and incentive payments are included in construction revenue when the amounts can be measured reliably and it is probable that the related consideration will be collected.</w:t>
      </w:r>
    </w:p>
    <w:p>
      <w:pPr>
        <w:spacing w:after="0" w:line="162" w:lineRule="exact"/>
        <w:rPr>
          <w:sz w:val="20"/>
          <w:szCs w:val="20"/>
          <w:color w:val="auto"/>
        </w:rPr>
      </w:pPr>
    </w:p>
    <w:p>
      <w:pPr>
        <w:ind w:left="780" w:hanging="448"/>
        <w:spacing w:after="0"/>
        <w:tabs>
          <w:tab w:leader="none" w:pos="7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translation</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consolidated financial statements are presented in the currency of the primary economic environment in which the Group operates (the “functional currency”). The Group’s financial performance and financial position are presented in Korean won, which is the Parent Company’s functional and presentation currency.</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Transactions in foreign currencies are translated into the respective functional currencies of Company companies at the exchange rates at the dates of the transactions. Monetary assets and liabilities denominated in foreign currencies are translated into the functional currency at the exchange rate at the reporting date. Non-monetary assets and liabilities that are measured at fair value in a foreign currency are translated into the functional currency at the exchange rate when the fair value was determined. Non- monetary items that are measured based on historical cost in a foreign currency are translated at the exchange rate at the date of the transaction.</w:t>
      </w: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HANSOL INTICUBE CO.,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7" w:lineRule="exact"/>
        <w:rPr>
          <w:sz w:val="20"/>
          <w:szCs w:val="20"/>
          <w:color w:val="auto"/>
        </w:rPr>
      </w:pPr>
    </w:p>
    <w:p>
      <w:pPr>
        <w:ind w:left="780" w:hanging="448"/>
        <w:spacing w:after="0"/>
        <w:tabs>
          <w:tab w:leader="none" w:pos="7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benefits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Obligations for contributions to defined contribution plans are expensed as the related service is provided.</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defined benefit obligation is calculated annually by independent actuaries using the projected unit credit method. Remeasurements of the net defined benefit liability, which comprise actuarial gains and losses, the return on plan assets (excluding interest) and the effect of the asset ceiling (if any, excluding interest), are recognized immediately in other comprehensive income. Remeasurements of the net defined benefit liability recognized in the consolidated statement of comprehensive income are recognized immediately in retained earnings and are not subsequently reclassified to profit or loss subsequently. Past service costs are recognized as profit or loss for the year and the net interest expense (income) on the net defined benefit liability (asset) for the period is determined by applying the discount rate used to measure the defined benefit obligation at the beginning of the annual period to the then- net defined benefit liability (asset). The components of defined benefit cost consist of service cost (comprising current service cost, past service cost, and gains or losses from settlements), net interest expense (income), and remeasurements of the net defined benefit liability.</w:t>
      </w:r>
    </w:p>
    <w:p>
      <w:pPr>
        <w:spacing w:after="0" w:line="19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Net interest expense and other expenses related to defined benefit plans are recognized in profit or loss. Remeasurement components are recognized in other comprehensive income. Gains or losses on curtailments of the plan are recognized as past service cost.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Group presents the actual underfunded or overfunded status of the defined benefit plans in the consolidated financial statements. When the calculation results in a potential asset for the Group, the recognized asset is limited to the present value of economic benefits available in the form of any future refunds from the plan or reductions in future contributions to the plan.</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 liability for termination benefits is recognized at the earlier of the date when the Group can no longer withdraw the offer of termination benefits or the date when the Group recognizes costs related to a restructuring that involves the payment of termination benefits.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Discretionary contributions made by employees or third parties reduce service cost upon payment of these contributions to the plan. When the formal terms of a plan specify contributions from employees or third parties, the accounting for such contributions depends on whether the contributions are linked to the provision of service.</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If contributions are not linked to the service (for example, contributions paid to reduce a deficit resulting from losses on plan assets or actuarial losses), such contributions affect the remeasurement of the net defined benefit liability (asset).</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If contributions are linked to the service, such contributions reduce service cost. For contributions whose amounts vary based on years of service, the Group allocates the contributions over the service period in accordance with the attribution method required by paragraph 70 of IAS 19 </w:t>
      </w:r>
      <w:r>
        <w:rPr>
          <w:rFonts w:ascii="Times New Roman" w:cs="Times New Roman" w:eastAsia="Times New Roman" w:hAnsi="Times New Roman"/>
          <w:sz w:val="18"/>
          <w:szCs w:val="18"/>
          <w:i w:val="1"/>
          <w:iCs w:val="1"/>
          <w:color w:val="auto"/>
        </w:rPr>
        <w:t>Employee Benefits</w:t>
      </w:r>
      <w:r>
        <w:rPr>
          <w:rFonts w:ascii="Times New Roman" w:cs="Times New Roman" w:eastAsia="Times New Roman" w:hAnsi="Times New Roman"/>
          <w:sz w:val="18"/>
          <w:szCs w:val="18"/>
          <w:color w:val="auto"/>
        </w:rPr>
        <w:t xml:space="preserve"> based on total remuneration. Conversely, for contributions whose amounts are independent of years of service, the Group recognizes such contributions as a reduction of service cost in the period in which the related service is rendered.</w:t>
      </w:r>
    </w:p>
    <w:p>
      <w:pPr>
        <w:spacing w:after="0" w:line="180" w:lineRule="exact"/>
        <w:rPr>
          <w:sz w:val="20"/>
          <w:szCs w:val="20"/>
          <w:color w:val="auto"/>
        </w:rPr>
      </w:pPr>
    </w:p>
    <w:p>
      <w:pPr>
        <w:ind w:left="780" w:hanging="448"/>
        <w:spacing w:after="0"/>
        <w:tabs>
          <w:tab w:leader="none" w:pos="7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Share-based payments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Equity-settled share-based payments granted to employees and employee-equivalent service providers are estimated at fair value of equity instruments at the grant date.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grant-date fair value of equity-settled share-based payment arrangements granted to employees is generally recognized as an expense, with a corresponding increase in equity, over the vesting period of the awards. The number of equity instruments expected to vest is remeasured at the end of the reporting period, with any changes from the original remeasurement recognized in profit or loss for the year and equity.</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Equity-settled share-based payments granted to non-employee counterparties are measured at the fair value of the goods or services received. If the fair value of the goods or services received cannot be estimated reliably, the goods or services are measured based on the fair value of the equity instruments granted, determined at the date the goods or services are received.</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HANSOL INTICUBE CO.,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cash-settled share-based payments, the liability for goods or services received is initially recognized at fair value. The liability is remeasured at each reporting date and at settlement date based on the fair value of the share-based payment arrangements. Any changes in the liability are recognized in profit or loss.</w:t>
      </w:r>
    </w:p>
    <w:p>
      <w:pPr>
        <w:spacing w:after="0" w:line="176" w:lineRule="exact"/>
        <w:rPr>
          <w:sz w:val="20"/>
          <w:szCs w:val="20"/>
          <w:color w:val="auto"/>
        </w:rPr>
      </w:pPr>
    </w:p>
    <w:p>
      <w:pPr>
        <w:ind w:left="780" w:hanging="448"/>
        <w:spacing w:after="0"/>
        <w:tabs>
          <w:tab w:leader="none" w:pos="7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tax expense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tax expense for the period consists of current and deferred tax.</w:t>
      </w:r>
    </w:p>
    <w:p>
      <w:pPr>
        <w:spacing w:after="0" w:line="225" w:lineRule="exact"/>
        <w:rPr>
          <w:sz w:val="20"/>
          <w:szCs w:val="20"/>
          <w:color w:val="auto"/>
        </w:rPr>
      </w:pPr>
    </w:p>
    <w:p>
      <w:pPr>
        <w:ind w:left="780" w:hanging="448"/>
        <w:spacing w:after="0"/>
        <w:tabs>
          <w:tab w:leader="none" w:pos="7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income tax</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Income taxes are calculated based on the Group’s taxable income for the year. The taxable profit is different from the accounting profit for the period since the taxable profit is calculated excluding the temporary differences, which will be taxable or deductible in determining taxable profit (tax loss) of future periods, and non-taxable or non-deductible items from the accounting profit. The amount of current tax payable is measured using tax rates enacted or substantively enacted at the reporting date.</w:t>
      </w:r>
    </w:p>
    <w:p>
      <w:pPr>
        <w:spacing w:after="0" w:line="180" w:lineRule="exact"/>
        <w:rPr>
          <w:sz w:val="20"/>
          <w:szCs w:val="20"/>
          <w:color w:val="auto"/>
        </w:rPr>
      </w:pPr>
    </w:p>
    <w:p>
      <w:pPr>
        <w:ind w:left="780" w:hanging="448"/>
        <w:spacing w:after="0"/>
        <w:tabs>
          <w:tab w:leader="none" w:pos="7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Deferred income tax</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Deferred tax is recognized in respect of temporary differences between the carrying amounts of assets and liabilities for financial reporting purposes and the amounts used for taxation purposes. The Group recognizes that a deferred tax liability for all taxable temporary differences. Deferred tax assets are recognized only if it is probable that future taxable amounts will be available to utilize those temporary differences and losses. However, deferred tax is not recognized for:</w:t>
      </w:r>
    </w:p>
    <w:p>
      <w:pPr>
        <w:spacing w:after="0" w:line="180"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taxable temporary differences arising on the initial recognition of goodwill;</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temporary differences on the initial recognition of assets or liabilities in a transaction that is not a business combination and that affects neither accounting nor taxable profit or loss;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temporary differences related to investments in subsidiary, associates and joint arrangements to the extent that the Group is able to control the timing of the reversal of the temporary differences and it is probable that they will not reverse in the foreseeable future.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Deferred tax assets are reviewed at each reporting date and are reduced to the extent that it is no longer probable that the related tax benefit will be realized</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Deferred income tax assets and liabilities are measured at the tax rates that are expected to apply to the period when the asset is realized or the liability is settled, based on tax laws that have been enacted or substantively enacted by the end of the reporting period. The measurement of deferred income tax liabilities and deferred income tax assets reflects the tax consequences that would follow from the manner in which the Group expects, at the end of the reporting period to recover or settle the carrying amount of its assets and liabilities.</w:t>
      </w:r>
    </w:p>
    <w:p>
      <w:pPr>
        <w:spacing w:after="0" w:line="180" w:lineRule="exact"/>
        <w:rPr>
          <w:sz w:val="20"/>
          <w:szCs w:val="20"/>
          <w:color w:val="auto"/>
        </w:rPr>
      </w:pPr>
    </w:p>
    <w:p>
      <w:pPr>
        <w:ind w:left="780" w:hanging="448"/>
        <w:spacing w:after="0"/>
        <w:tabs>
          <w:tab w:leader="none" w:pos="7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Recognition of current and deferred tax</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It is recognized in profit or loss except to the extent that it relates to a business combination, or items recognized directly in equity or in other comprehensive income. Income tax effects arising from a business combination are included as part of the accounting for the business combination.</w:t>
      </w:r>
    </w:p>
    <w:p>
      <w:pPr>
        <w:spacing w:after="0" w:line="162" w:lineRule="exact"/>
        <w:rPr>
          <w:sz w:val="20"/>
          <w:szCs w:val="20"/>
          <w:color w:val="auto"/>
        </w:rPr>
      </w:pPr>
    </w:p>
    <w:p>
      <w:pPr>
        <w:ind w:left="780" w:hanging="448"/>
        <w:spacing w:after="0"/>
        <w:tabs>
          <w:tab w:leader="none" w:pos="7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Property and equipment</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Items of property and equipment are measured at cost, which includes capitalized borrowing costs, less government grants, accumulated depreciation, and any accumulated impairment losses. Historical cost includes expenditure that is directly attributable to the acquisition of the items, including costs incurred to bring the asset to the location and condition necessary for it to be capable of operating in the manner intended by management, as well as the initial estimate of costs expected to be incurred to dismantle and remove the asset and to restore the site on which it is located.</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HANSOL INTICUBE CO.,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Subsequent expenditure is capitalized only if it is probable that the future economic benefits associated with the expenditure will flow to the Group. The carrying amount of the replaced parts are derecognized and the repairs and maintenance expenses are recognized in profit or loss in the period they are incurred.</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Depreciation is calculated to write off the cost of items of property and equipment less their estimated residual values using the straight-line method over their estimated useful lives, and is generally recognized in profit or loss. Land is not depreciated.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The estimated useful lives of property and equipment for current and comparative periods are as follows:</w:t>
            </w:r>
          </w:p>
        </w:tc>
        <w:tc>
          <w:tcPr>
            <w:tcW w:w="124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16"/>
        </w:trPr>
        <w:tc>
          <w:tcPr>
            <w:tcW w:w="86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Building</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30 years</w:t>
            </w: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Machinery</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6 years</w:t>
            </w: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Vehicles</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5 years</w:t>
            </w: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1240" w:type="dxa"/>
            <w:vAlign w:val="bottom"/>
          </w:tcPr>
          <w:p>
            <w:pPr>
              <w:spacing w:after="0"/>
              <w:rPr>
                <w:sz w:val="18"/>
                <w:szCs w:val="18"/>
                <w:color w:val="auto"/>
              </w:rPr>
            </w:pPr>
          </w:p>
        </w:tc>
        <w:tc>
          <w:tcPr>
            <w:tcW w:w="1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 years</w:t>
            </w: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 equipment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5 years</w:t>
            </w:r>
          </w:p>
        </w:tc>
      </w:tr>
      <w:tr>
        <w:trPr>
          <w:trHeight w:val="234"/>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240" w:type="dxa"/>
            <w:vAlign w:val="bottom"/>
          </w:tcPr>
          <w:p>
            <w:pPr>
              <w:spacing w:after="0"/>
              <w:rPr>
                <w:sz w:val="20"/>
                <w:szCs w:val="20"/>
                <w:color w:val="auto"/>
              </w:rPr>
            </w:pPr>
          </w:p>
        </w:tc>
        <w:tc>
          <w:tcPr>
            <w:tcW w:w="1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 years</w:t>
            </w:r>
          </w:p>
        </w:tc>
      </w:tr>
    </w:tbl>
    <w:p>
      <w:pPr>
        <w:spacing w:after="0" w:line="1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significant parts of an item of property, plant and equipment have different useful lives, then they are accounted for as separate items (major components) of property and equipment. Depreciation methods, useful lives and residual values are reviewed at each reporting date and adjusted if appropriate. The depreciation method, residual values and useful lives of property and equipment are reviewed and adjusted at each financial year-end, if appropriate, accounted for as changes in accounting estimates.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 item of property, plant and equipment is derecognized upon disposal or when no future economic benefits are expected from its use or disposal, and the carrying amount is removed from the consolidated statement of financial position. Any gain or loss arising from derecognition is determined as the difference between the net disposal proceeds and the carrying amount of the asset and is recognized in profit or loss at the time the asset is derecognized.</w:t>
      </w:r>
    </w:p>
    <w:p>
      <w:pPr>
        <w:spacing w:after="0" w:line="176" w:lineRule="exact"/>
        <w:rPr>
          <w:sz w:val="20"/>
          <w:szCs w:val="20"/>
          <w:color w:val="auto"/>
        </w:rPr>
      </w:pPr>
    </w:p>
    <w:p>
      <w:pPr>
        <w:ind w:left="780" w:hanging="448"/>
        <w:spacing w:after="0"/>
        <w:tabs>
          <w:tab w:leader="none" w:pos="7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Leases</w:t>
      </w:r>
    </w:p>
    <w:p>
      <w:pPr>
        <w:spacing w:after="0" w:line="225" w:lineRule="exact"/>
        <w:rPr>
          <w:sz w:val="20"/>
          <w:szCs w:val="20"/>
          <w:color w:val="auto"/>
        </w:rPr>
      </w:pPr>
    </w:p>
    <w:p>
      <w:pPr>
        <w:ind w:left="780" w:hanging="448"/>
        <w:spacing w:after="0"/>
        <w:tabs>
          <w:tab w:leader="none" w:pos="7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Definition of a lease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contract is, or contains, a lease if the contract conveys the right to control the use of an identified asset for a period of time in exchange for consideration.</w:t>
      </w:r>
    </w:p>
    <w:p>
      <w:pPr>
        <w:spacing w:after="0" w:line="225" w:lineRule="exact"/>
        <w:rPr>
          <w:sz w:val="20"/>
          <w:szCs w:val="20"/>
          <w:color w:val="auto"/>
        </w:rPr>
      </w:pPr>
    </w:p>
    <w:p>
      <w:pPr>
        <w:ind w:left="780" w:hanging="448"/>
        <w:spacing w:after="0"/>
        <w:tabs>
          <w:tab w:leader="none" w:pos="7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lessee</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inception of a contract, the Group assesses whether a contract is, or contains, a lease. At commencement or on modification of a contract that contains a lease component, the Group allocates the consideration in the contract to each lease component on the basis of its relative stand-alone prices. However, for the leases of property the Group has elected not to separate non-lease components and account for the lease and non-lease components as a single lease component.</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Group recognizes a right-of-use asset and a lease liability at the lease commencement date. The right-of-use asset is initially measured at cost, which comprises the initial amount of the lease liability adjusted for any lease payments made at or before the commencement date, plus any initial direct costs incurred and an estimate of costs to dismantle and remove the underlying asset or to restore the underlying asset or the site on which it is located, less any lease incentives received.</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right-of-use asset is subsequently depreciated using the straight-line method from the commencement date to the end of the lease term, unless the lease transfers ownership of the underlying asset to the Group by the end of the lease term or the cost of the right-of-use asset reflects that the Group will exercise a purchase option. In that case the right-of-use asset will be depreciated over the useful life of the underlying asset, which is determined on the same basis as those of property and equipment. In addition, the right-of-use asset is periodically reduced by impairment losses, if any, and adjusted for certain remeasurements of the lease liability.</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HANSOL INTICUBE CO.,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lease liability is initially measured at the present value of the lease payments that are not paid at the commencement date, discounted using the interest rate implicit in the lease or, if that rate cannot be readily determined, the Group’s incremental borrowing rate. Generally, the Group uses its incremental borrowing rate as the discount rate.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Group determines its incremental borrowing rate by obtaining interest rates from various external financing sources and makes certain adjustments to reflect the terms of the lease and type of the asset leased.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Lease payments included in the measurement of the lease liability comprise the following:</w:t>
      </w:r>
    </w:p>
    <w:p>
      <w:pPr>
        <w:spacing w:after="0" w:line="225"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fixed payments, including in-substance fixed payments;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variable lease payments that depend on an index or a rate, initially measured using the index or rate as at the commencement date;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expected to be payable under a residual value guarantee;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 under a purchase option that the Group is reasonably certain to exercise; 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 payments in an optional renewal period if the Group is reasonably certain to exercise an extension option, and penalties for early termination of a lease unless the Group is reasonably certain not to terminate early.</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lease liability is measured at amortized cost using the effective interest method. It is remeasured when there is a change in future lease payments arising from a change in an index or rate, if there is a change in the Group’s estimate of the amount expected to be payable under a residual value guarantee, if the Group changes its assessment of whether it will exercise a purchase, extension or termination option or if there is a revised in-substance fixed lease payment.</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Group has elected not to recognize right-of-use assets and lease liabilities for leases of low-value assets (leases for which the underlying asset is valued at USD 5,000 or less) and short-term leases (leases that have a lease term of 12 months or less at the commencement date), including IT equipment. The Group recognizes the lease payments associated with these leases as an expense on a straight-line basis over the lease term.</w:t>
      </w:r>
    </w:p>
    <w:p>
      <w:pPr>
        <w:spacing w:after="0" w:line="176" w:lineRule="exact"/>
        <w:rPr>
          <w:sz w:val="20"/>
          <w:szCs w:val="20"/>
          <w:color w:val="auto"/>
        </w:rPr>
      </w:pPr>
    </w:p>
    <w:p>
      <w:pPr>
        <w:ind w:left="780" w:hanging="448"/>
        <w:spacing w:after="0"/>
        <w:tabs>
          <w:tab w:leader="none" w:pos="7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lessor</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When the Group acts as a lessor, it determines at lease inception whether each lease is a finance lease or an operating lease. To classify each lease, the Group makes an overall assessment of whether the lease transfers substantially all of the risks and rewards incidental to ownership of the underlying asset. If this is the case, then the lease is a finance lease; if not, then it is an operating lease.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When the Group is an intermediate lessor, it accounts for its interests in the head lease and the sub-lease separately. It assesses the lease classification of a sub-lease with reference to the right-of-use asset arising from the head lease, not with reference to the underlying asset. If a head lease is a short-term lease to which the Group applies the exemption described above, then it classifies the sub-lease as an operating lease.</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Group recognizes lease payments received under operating leases as income on a straight-line basis over the lease term as part of ‘other income’. The Group applies another systematic basis if that basis is more representative of the pattern in which benefit from the use of the underlying asset is diminished.</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Group capitalizes initial direct costs incurred in negotiating and arranging operating leases as part of the carrying amount of the underlying asset and recognizes such costs as an expense over the lease term on the same basis as lease income.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an arrangement contains lease and non-lease components, then the Group applies IFRS 15 to allocate the consideration in the contract.</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HANSOL INTICUBE CO.,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7" w:lineRule="exact"/>
        <w:rPr>
          <w:sz w:val="20"/>
          <w:szCs w:val="20"/>
          <w:color w:val="auto"/>
        </w:rPr>
      </w:pPr>
    </w:p>
    <w:p>
      <w:pPr>
        <w:ind w:left="780" w:hanging="448"/>
        <w:spacing w:after="0"/>
        <w:tabs>
          <w:tab w:leader="none" w:pos="7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Intangible assets and goodwill</w:t>
      </w:r>
    </w:p>
    <w:p>
      <w:pPr>
        <w:spacing w:after="0" w:line="225" w:lineRule="exact"/>
        <w:rPr>
          <w:sz w:val="20"/>
          <w:szCs w:val="20"/>
          <w:color w:val="auto"/>
        </w:rPr>
      </w:pPr>
    </w:p>
    <w:p>
      <w:pPr>
        <w:ind w:left="780" w:hanging="448"/>
        <w:spacing w:after="0"/>
        <w:tabs>
          <w:tab w:leader="none" w:pos="7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Separately acquired intangible assets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Separately acquired intangible assets with finite useful lives are recorded at cost less accumulated amortization and accumulated impairment losses. Such intangible assets are amortized on a straight-line basis over their estimated useful lives. The estimated useful lives and amortization methods of intangible assets are reviewed at the end of each reporting period, and any changes deemed appropriate are accounted for as changes in accounting estimates.</w:t>
      </w:r>
    </w:p>
    <w:p>
      <w:pPr>
        <w:spacing w:after="0" w:line="176" w:lineRule="exact"/>
        <w:rPr>
          <w:sz w:val="20"/>
          <w:szCs w:val="20"/>
          <w:color w:val="auto"/>
        </w:rPr>
      </w:pPr>
    </w:p>
    <w:p>
      <w:pPr>
        <w:ind w:right="5340" w:firstLine="332"/>
        <w:spacing w:after="0" w:line="500" w:lineRule="auto"/>
        <w:tabs>
          <w:tab w:leader="none" w:pos="769"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Internally generated intangible assets – Research and development cost Expenditures on research activities are expensed as incurred.</w:t>
      </w:r>
    </w:p>
    <w:p>
      <w:pPr>
        <w:spacing w:after="0" w:line="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Expenditures related to development activities (or the development phase of internal projects) are recognized as intangible assets only when the results of the development plan are intended to result in the development of a new product or a substantial improvement in functionality, and when the Group can demonstrate the technical and commercial feasibility of completing the development, as well as the ability to reliably measure the expenditures attributable to the development.</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cost of internally generated intangible assets comprises the aggregate of expenditures incurred from the date when the intangible asset first meets the recognition criteria described above. Development costs that do not meet the criteria for recognition as internally generated intangible assets are expensed as incurred.</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Subsequent to initial recognition, internally generated intangible assets are carried at cost less accumulated amortization and accumulated impairment losses.</w:t>
      </w:r>
    </w:p>
    <w:p>
      <w:pPr>
        <w:spacing w:after="0" w:line="162" w:lineRule="exact"/>
        <w:rPr>
          <w:sz w:val="20"/>
          <w:szCs w:val="20"/>
          <w:color w:val="auto"/>
        </w:rPr>
      </w:pPr>
    </w:p>
    <w:p>
      <w:pPr>
        <w:ind w:left="780" w:hanging="448"/>
        <w:spacing w:after="0"/>
        <w:tabs>
          <w:tab w:leader="none" w:pos="7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Derecognition</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 intangible asset is derecognized upon disposal or when no future economic benefits are expected from its use or disposal. The gain or loss arising from the derecognition of an intangible asset is determined as the difference between the net disposal proceeds and the carrying amount of the asset, and is recognized in profit or loss in the period in which the intangible asset is derecognized.</w:t>
      </w:r>
    </w:p>
    <w:p>
      <w:pPr>
        <w:spacing w:after="0" w:line="176" w:lineRule="exact"/>
        <w:rPr>
          <w:sz w:val="20"/>
          <w:szCs w:val="20"/>
          <w:color w:val="auto"/>
        </w:rPr>
      </w:pPr>
    </w:p>
    <w:p>
      <w:pPr>
        <w:ind w:left="780" w:hanging="448"/>
        <w:spacing w:after="0"/>
        <w:tabs>
          <w:tab w:leader="none" w:pos="7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Useful life</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Amortization is calculated using the straight-line method to allocate the cost or revalued amounts of the assets, net of their residual values, over their estimated useful lives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Software</w:t>
            </w:r>
          </w:p>
        </w:tc>
        <w:tc>
          <w:tcPr>
            <w:tcW w:w="20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5 years</w:t>
            </w:r>
          </w:p>
        </w:tc>
      </w:tr>
      <w:tr>
        <w:trPr>
          <w:trHeight w:val="234"/>
        </w:trPr>
        <w:tc>
          <w:tcPr>
            <w:tcW w:w="9200" w:type="dxa"/>
            <w:vAlign w:val="bottom"/>
          </w:tcPr>
          <w:p>
            <w:pPr>
              <w:spacing w:after="0"/>
              <w:rPr>
                <w:sz w:val="20"/>
                <w:szCs w:val="20"/>
                <w:color w:val="auto"/>
              </w:rPr>
            </w:pPr>
            <w:r>
              <w:rPr>
                <w:rFonts w:ascii="Times New Roman" w:cs="Times New Roman" w:eastAsia="Times New Roman" w:hAnsi="Times New Roman"/>
                <w:sz w:val="18"/>
                <w:szCs w:val="18"/>
                <w:color w:val="auto"/>
              </w:rPr>
              <w:t>Other intangible assets</w:t>
            </w:r>
          </w:p>
        </w:tc>
        <w:tc>
          <w:tcPr>
            <w:tcW w:w="20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5 years</w:t>
            </w:r>
          </w:p>
        </w:tc>
      </w:tr>
      <w:tr>
        <w:trPr>
          <w:trHeight w:val="414"/>
        </w:trPr>
        <w:tc>
          <w:tcPr>
            <w:tcW w:w="920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methods, useful lives and residual values are reviewed at each reporting date and adjusted if appropriate.</w:t>
            </w:r>
          </w:p>
        </w:tc>
        <w:tc>
          <w:tcPr>
            <w:tcW w:w="2040" w:type="dxa"/>
            <w:vAlign w:val="bottom"/>
          </w:tcPr>
          <w:p>
            <w:pPr>
              <w:spacing w:after="0"/>
              <w:rPr>
                <w:sz w:val="24"/>
                <w:szCs w:val="24"/>
                <w:color w:val="auto"/>
              </w:rPr>
            </w:pPr>
          </w:p>
        </w:tc>
      </w:tr>
      <w:tr>
        <w:trPr>
          <w:trHeight w:val="432"/>
        </w:trPr>
        <w:tc>
          <w:tcPr>
            <w:tcW w:w="9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(10)  Impairment of non-financial assets other than goodwill</w:t>
            </w:r>
          </w:p>
        </w:tc>
        <w:tc>
          <w:tcPr>
            <w:tcW w:w="2040" w:type="dxa"/>
            <w:vAlign w:val="bottom"/>
          </w:tcPr>
          <w:p>
            <w:pPr>
              <w:spacing w:after="0"/>
              <w:rPr>
                <w:sz w:val="24"/>
                <w:szCs w:val="24"/>
                <w:color w:val="auto"/>
              </w:rPr>
            </w:pPr>
          </w:p>
        </w:tc>
      </w:tr>
    </w:tbl>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At each reporting date, the Group reviews the carrying amounts of its non-financial assets other than goodwill to determine whether there is any indication of impairment. If any such indication exists, then the asset’s recoverable amount is estimated. The Group estimates the recoverable amount of each individual asset. When it is not possible to estimate the recoverable amount of an individual asset, the Group estimates the recoverable amount of the cash-generating unit (“CGU”) to which the asset belongs. Corporate assets are allocated to individual CGUs on a reasonable and consistent basis. When corporate assets cannot be allocated to individual CGUs, they are allocated to the smallest group of CGUs to which a reasonable and consistent allocation can be made.</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Intangible assets with indefinite useful lives and intangible assets not yet available for use are tested for impairment annually, irrespective of whether there is any indication of impairment.</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HANSOL INTICUBE CO.,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recoverable amount of an asset or CGU is the greater of its value in use and its fair value less costs of disposal. When the recoverable amount of an asset (or CGU) is less than its carrying amount, the carrying amount of the asset (or CGU) is reduced to its recoverable amount. The impairment loss is recognized in profit or loss for the period.</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 impairment loss is reversed only to the extent that the asset’s carrying amount does not exceed the carrying amount that would have been determined, net of depreciation or amortization, if no impairment loss had been recognized.</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When a previously recognized impairment loss is reversed, the carrying amount of the individual asset (or CGU) is increased to the revised recoverable amount or to the carrying amount that would have been determined (net of amortization) had no impairment loss been recognized in prior periods, whichever is lower. The reversal of the impairment loss is recognized immediately in profit or loss for the period.</w:t>
      </w:r>
    </w:p>
    <w:p>
      <w:pPr>
        <w:spacing w:after="0" w:line="176" w:lineRule="exact"/>
        <w:rPr>
          <w:sz w:val="20"/>
          <w:szCs w:val="20"/>
          <w:color w:val="auto"/>
        </w:rPr>
      </w:pPr>
    </w:p>
    <w:p>
      <w:pPr>
        <w:ind w:left="340"/>
        <w:spacing w:after="0"/>
        <w:tabs>
          <w:tab w:leader="none" w:pos="76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7"/>
          <w:szCs w:val="17"/>
          <w:color w:val="auto"/>
        </w:rPr>
        <w:t>Inventories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Inventories are measured at the lower of cost and net realizable value. The cost of inventories is based on the first-in, first-out allocation method, and includes expenditures incurred in acquiring the inventories, production or conversion cost and other costs incurred in bringing them to their existing location and condition. Net realizable value is the estimated selling price in the ordinary course of business less the estimated costs of completion and the estimated selling expenses.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Cost of sales is recognized at the carrying amount of inventories in the period in which the related revenue from the sale of such inventories is recognized. Inventory write-downs to net realizable value and inventory obsolescence losses are recognized as expenses in the period in which they are incurred. Reversals of inventory write-downs resulting from an increase in net realizable value are recognized as a reduction of cost of sales in the period in which the reversal occurs.</w:t>
      </w:r>
    </w:p>
    <w:p>
      <w:pPr>
        <w:spacing w:after="0" w:line="180" w:lineRule="exact"/>
        <w:rPr>
          <w:sz w:val="20"/>
          <w:szCs w:val="20"/>
          <w:color w:val="auto"/>
        </w:rPr>
      </w:pPr>
    </w:p>
    <w:p>
      <w:pPr>
        <w:ind w:left="340"/>
        <w:spacing w:after="0"/>
        <w:tabs>
          <w:tab w:leader="none" w:pos="76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7"/>
          <w:szCs w:val="17"/>
          <w:color w:val="auto"/>
        </w:rPr>
        <w:t>Provisions</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Provisions are recognized when the Group has a present legal or constructive obligation as a result of past events, it is probable that an outflow of resources will be required to settle the obligation and the amount can be reliably estimated.</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Provisions are measured at the present value of management’s best estimate of the expenditure required to settle the present obligation at the end of the reporting period. Provisions are determined by discounting the expected future cash flows at a pre-tax rate that reflects current market assessments of the time value of money and the risks specific to the liability. The unwinding of the discount is recognized as finance cost.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it is expected that some or all of the expenditure required to settle a provision will be reimbursed by a third party, the Group recognizes the reimbursement as an asset when it is virtually certain that reimbursement will be received upon settlement of the obligation and the amount can be measured reliably.</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Provisions are reviewed at the end of each reporting period and adjusted to reflect the current best estimates. If it is no longer probable that an outflow of resources embodying economic benefits will be required to settle the obligation, the provision is reversed.</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HANSOL INTICUBE CO.,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7" w:lineRule="exact"/>
        <w:rPr>
          <w:sz w:val="20"/>
          <w:szCs w:val="20"/>
          <w:color w:val="auto"/>
        </w:rPr>
      </w:pPr>
    </w:p>
    <w:p>
      <w:pPr>
        <w:ind w:left="340"/>
        <w:spacing w:after="0"/>
        <w:tabs>
          <w:tab w:leader="none" w:pos="760" w:val="left"/>
        </w:tabs>
        <w:rPr>
          <w:sz w:val="20"/>
          <w:szCs w:val="20"/>
          <w:color w:val="auto"/>
        </w:rPr>
      </w:pPr>
      <w:r>
        <w:rPr>
          <w:rFonts w:ascii="Times New Roman" w:cs="Times New Roman" w:eastAsia="Times New Roman" w:hAnsi="Times New Roman"/>
          <w:sz w:val="18"/>
          <w:szCs w:val="18"/>
          <w:color w:val="auto"/>
        </w:rPr>
        <w:t>(13)</w:t>
        <w:tab/>
        <w:t>Financial assets</w:t>
      </w:r>
    </w:p>
    <w:p>
      <w:pPr>
        <w:spacing w:after="0" w:line="225" w:lineRule="exact"/>
        <w:rPr>
          <w:sz w:val="20"/>
          <w:szCs w:val="20"/>
          <w:color w:val="auto"/>
        </w:rPr>
      </w:pPr>
    </w:p>
    <w:p>
      <w:pPr>
        <w:ind w:left="780" w:hanging="448"/>
        <w:spacing w:after="0"/>
        <w:tabs>
          <w:tab w:leader="none" w:pos="7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Classification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Group classifies its financial assets in the following measurement categories:</w:t>
      </w:r>
    </w:p>
    <w:p>
      <w:pPr>
        <w:spacing w:after="0" w:line="225" w:lineRule="exact"/>
        <w:rPr>
          <w:sz w:val="20"/>
          <w:szCs w:val="20"/>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those to be measured at fair value through profit or loss;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those to be measured at fair value through other comprehensive income;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those to be measured at amortized cost.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classification depends on the Group’s business model for managing financial assets and the contractual terms of the cash flows.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financial assets measured at fair value, gains and losses will either be recorded in profit or loss or other comprehensive income. For investments in debt instruments, this will depend on the business model in which the investment is held. The Group reclassifies debt investments when, and only when its business model for managing those assets changes.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investments in equity instruments that are not held for trading, this will depend on whether the Group has made an irrevocable election at the time of initial recognition to account for the equity investment at fair value through other comprehensive income. Changes in fair value of the investments in equity instruments that are not accounted for as other comprehensive income are recognized in profit or loss.</w:t>
      </w:r>
    </w:p>
    <w:p>
      <w:pPr>
        <w:spacing w:after="0" w:line="176" w:lineRule="exact"/>
        <w:rPr>
          <w:sz w:val="20"/>
          <w:szCs w:val="20"/>
          <w:color w:val="auto"/>
        </w:rPr>
      </w:pPr>
    </w:p>
    <w:p>
      <w:pPr>
        <w:ind w:left="780" w:hanging="448"/>
        <w:spacing w:after="0"/>
        <w:tabs>
          <w:tab w:leader="none" w:pos="7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Measurement</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initial recognition, the Group measures a financial asset at its fair value plus, in the case of a financial asset not at fair value through profit or loss, transaction costs that are directly attributable to the acquisition of the financial asset. Transaction costs of financial assets carried at fair value through profit or loss are expensed in profit or loss.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Financial assets with embedded derivatives are considered in their entirety when determining whether their cash flows are solely payment of principal and interest.</w:t>
      </w:r>
    </w:p>
    <w:p>
      <w:pPr>
        <w:spacing w:after="0" w:line="162" w:lineRule="exact"/>
        <w:rPr>
          <w:sz w:val="20"/>
          <w:szCs w:val="20"/>
          <w:color w:val="auto"/>
        </w:rPr>
      </w:pPr>
    </w:p>
    <w:p>
      <w:pPr>
        <w:ind w:left="780" w:hanging="448"/>
        <w:spacing w:after="0"/>
        <w:tabs>
          <w:tab w:leader="none" w:pos="780" w:val="left"/>
        </w:tabs>
        <w:numPr>
          <w:ilvl w:val="0"/>
          <w:numId w:val="3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Debt instruments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Subsequent measurement of debt instruments depends on the Group’s business model for managing the asset and the cash flow characteristics of the asset.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Group classifies its debt instruments into one of the following three measurement categories:</w:t>
      </w:r>
    </w:p>
    <w:p>
      <w:pPr>
        <w:spacing w:after="0" w:line="207" w:lineRule="exact"/>
        <w:rPr>
          <w:sz w:val="20"/>
          <w:szCs w:val="20"/>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Amortized cost</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Assets that are held for collection of contractual cash flows where those cash flows represent solely payments of principal and interest are measured at amortized cost. A gain or loss on a debt investment that is subsequently measured at amortized cost and is not part of a hedging relationship is recognized in profit or loss when the asset is derecognized or impaired. Interest income from these financial assets is included in ‘finance income’ using the effective interest rate method.</w:t>
      </w:r>
    </w:p>
    <w:p>
      <w:pPr>
        <w:spacing w:after="0" w:line="180" w:lineRule="exact"/>
        <w:rPr>
          <w:sz w:val="20"/>
          <w:szCs w:val="20"/>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 value through other comprehensive income:</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Assets that are held for collection of contractual cash flows and for selling the financial assets, where the assets’ cash flows represent solely payments of principal and interest, are measured at fair value through other comprehensive income. Movements in the carrying amount are taken through other comprehensive income, except for the recognition of</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HANSOL INTICUBE CO.,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impairment loss (reversal of impairment loss), interest income and foreign exchange gains and losses which are recognized in profit or loss. When the financial asset is derecognized, the cumulative gain or loss previously recognized in other comprehensive income is reclassified from equity to profit or loss. Interest income from these financial assets is included in ‘finance income’ using the effective interest rate method. Foreign exchange gains and losses are presented in ‘other non-operating income or expenses’, and impairment losses are presented in ‘other non-operating expenses’.</w:t>
      </w:r>
    </w:p>
    <w:p>
      <w:pPr>
        <w:spacing w:after="0" w:line="180" w:lineRule="exact"/>
        <w:rPr>
          <w:sz w:val="20"/>
          <w:szCs w:val="20"/>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 value through profit or loss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Assets that do not meet the criteria for amortized cost or fair value through other comprehensive income are measured at fair value through profit or loss. A gain or loss on a debt investment that is subsequently measured at fair value through profit or loss and is not part of a hedging relationship is recognized in profit or loss and presented net in the consolidated statement of comprehensive income within ‘finance income and costs’ in the year in which it arises.</w:t>
      </w:r>
    </w:p>
    <w:p>
      <w:pPr>
        <w:spacing w:after="0" w:line="176" w:lineRule="exact"/>
        <w:rPr>
          <w:sz w:val="20"/>
          <w:szCs w:val="20"/>
          <w:color w:val="auto"/>
        </w:rPr>
      </w:pPr>
    </w:p>
    <w:p>
      <w:pPr>
        <w:ind w:left="780" w:hanging="448"/>
        <w:spacing w:after="0"/>
        <w:tabs>
          <w:tab w:leader="none" w:pos="780" w:val="left"/>
        </w:tabs>
        <w:numPr>
          <w:ilvl w:val="0"/>
          <w:numId w:val="38"/>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Equity instruments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Group subsequently measures all equity investments at fair value. Where the Group’s management has elected to present fair value gains and losses on equity investments, which held for long-term investment or strategic purpose, in other comprehensive income, there is no subsequent reclassification of fair value gains and losses to profit or loss following the derecognition of the investment. Dividend income from such investments continue to be recognized in profit or loss as ‘finance income’ when the right to receive payments is established.</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Changes in the fair value of financial assets at fair value through profit or loss are recognized in ‘finance income and costs’ in the consolidated statement of comprehensive income as applicable. Impairment loss (reversal of impairment loss) on equity investments measured at fair value through other comprehensive income are not reported separately from other changes in fair value.</w:t>
      </w:r>
    </w:p>
    <w:p>
      <w:pPr>
        <w:spacing w:after="0" w:line="176" w:lineRule="exact"/>
        <w:rPr>
          <w:sz w:val="20"/>
          <w:szCs w:val="20"/>
          <w:color w:val="auto"/>
        </w:rPr>
      </w:pPr>
    </w:p>
    <w:p>
      <w:pPr>
        <w:ind w:left="780" w:hanging="448"/>
        <w:spacing w:after="0"/>
        <w:tabs>
          <w:tab w:leader="none" w:pos="7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Group assesses on a forward-looking basis the expected credit losses associated with its debt instruments carried at amortized cost and fair value through other comprehensive income. The impairment methodology applied depends on whether there has been a significant increase in credit risk. For trade receivables and lease receivables, the Group applies the simplified approach, which requires expected lifetime losses to be recognized from initial recognition of the receivables</w:t>
      </w:r>
    </w:p>
    <w:p>
      <w:pPr>
        <w:spacing w:after="0" w:line="180" w:lineRule="exact"/>
        <w:rPr>
          <w:sz w:val="20"/>
          <w:szCs w:val="20"/>
          <w:color w:val="auto"/>
        </w:rPr>
      </w:pPr>
    </w:p>
    <w:p>
      <w:pPr>
        <w:ind w:left="780" w:hanging="448"/>
        <w:spacing w:after="0"/>
        <w:tabs>
          <w:tab w:leader="none" w:pos="7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Recognition and derecognition</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Regular way purchases and sales of financial assets are recognized or derecognized on trade-date, the date on which the Group commits to purchase or sell the asset. Financial assets are derecognized when the rights to receive cash flows from the financial assets have expired or have been transferred and the Group has transferred substantially all the risks and rewards of ownership.</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a transfer does not result in derecognition because the Group has retained substantially all the risks and rewards of ownership of the transferred asset, the Group continues to recognize the transferred asset in its entirety and recognizes a financial liability for the consideration received. The Group classifies the financial liability as ‘borrowings’ in the consolidated statement of financial position.</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HANSOL INTICUBE CO.,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7" w:lineRule="exact"/>
        <w:rPr>
          <w:sz w:val="20"/>
          <w:szCs w:val="20"/>
          <w:color w:val="auto"/>
        </w:rPr>
      </w:pPr>
    </w:p>
    <w:p>
      <w:pPr>
        <w:ind w:left="780" w:hanging="448"/>
        <w:spacing w:after="0"/>
        <w:tabs>
          <w:tab w:leader="none" w:pos="7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Offsetting of financial instruments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Financial assets and liabilities are offset and the net amount reported in the statements of financial position where there is a legally enforceable right to offset the recognized amounts and there is an intention settle on a net basis or realize the assets and settle the liability simultaneously. The legally enforceable right must not be contingent on future events and must be enforceable in the normal course of business and in the event of default, insolvency or bankruptcy of the Group or the counterparty.</w:t>
      </w:r>
    </w:p>
    <w:p>
      <w:pPr>
        <w:spacing w:after="0" w:line="180" w:lineRule="exact"/>
        <w:rPr>
          <w:sz w:val="20"/>
          <w:szCs w:val="20"/>
          <w:color w:val="auto"/>
        </w:rPr>
      </w:pPr>
    </w:p>
    <w:p>
      <w:pPr>
        <w:ind w:left="340"/>
        <w:spacing w:after="0"/>
        <w:tabs>
          <w:tab w:leader="none" w:pos="760" w:val="left"/>
        </w:tabs>
        <w:rPr>
          <w:sz w:val="20"/>
          <w:szCs w:val="20"/>
          <w:color w:val="auto"/>
        </w:rPr>
      </w:pPr>
      <w:r>
        <w:rPr>
          <w:rFonts w:ascii="Times New Roman" w:cs="Times New Roman" w:eastAsia="Times New Roman" w:hAnsi="Times New Roman"/>
          <w:sz w:val="18"/>
          <w:szCs w:val="18"/>
          <w:color w:val="auto"/>
        </w:rPr>
        <w:t>(14)</w:t>
      </w:r>
      <w:r>
        <w:rPr>
          <w:sz w:val="20"/>
          <w:szCs w:val="20"/>
          <w:color w:val="auto"/>
        </w:rPr>
        <w:tab/>
      </w:r>
      <w:r>
        <w:rPr>
          <w:rFonts w:ascii="Times New Roman" w:cs="Times New Roman" w:eastAsia="Times New Roman" w:hAnsi="Times New Roman"/>
          <w:sz w:val="17"/>
          <w:szCs w:val="17"/>
          <w:color w:val="auto"/>
        </w:rPr>
        <w:t>Financial liabilities</w:t>
      </w:r>
    </w:p>
    <w:p>
      <w:pPr>
        <w:spacing w:after="0" w:line="225" w:lineRule="exact"/>
        <w:rPr>
          <w:sz w:val="20"/>
          <w:szCs w:val="20"/>
          <w:color w:val="auto"/>
        </w:rPr>
      </w:pPr>
    </w:p>
    <w:p>
      <w:pPr>
        <w:ind w:left="780" w:hanging="448"/>
        <w:spacing w:after="0"/>
        <w:tabs>
          <w:tab w:leader="none" w:pos="7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Classification and measurement</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Group’s financial liabilities at fair value through profit or loss are financial instruments held for trading. A financial liability is held for trading if it is incurred principally for the purpose of repurchasing in the near term. A derivative that is not a designated hedging instruments and an embedded derivative that is separated are also classified as held for trading.</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Group classifies non-derivative financial liabilities, except for financial liabilities at fair value through profit or loss, financial guarantee contracts and financial liabilities that arise when a transfer of financial assets does not qualify for derecognition, as financial liabilities carried at amortized cost and present as ‘trade and other payables’ and ‘other financial liabilities’ in the consolidated statement of financial position.</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Preferred shares that require mandatory redemption at a particular date are classified as liabilities. Interest expenses on these preferred shares using the effective interest method are recognized in the consolidated statement of comprehensive income as ‘finance costs’, together with interest expenses recognized from other financial liabilities.</w:t>
      </w:r>
    </w:p>
    <w:p>
      <w:pPr>
        <w:spacing w:after="0" w:line="176" w:lineRule="exact"/>
        <w:rPr>
          <w:sz w:val="20"/>
          <w:szCs w:val="20"/>
          <w:color w:val="auto"/>
        </w:rPr>
      </w:pPr>
    </w:p>
    <w:p>
      <w:pPr>
        <w:ind w:left="780" w:hanging="448"/>
        <w:spacing w:after="0"/>
        <w:tabs>
          <w:tab w:leader="none" w:pos="7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Derecognition</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Financial liabilities are removed from the statement of financial position when it is extinguished; for example, when the obligation specified in the contract is discharged or cancelled or expired or when the terms of an existing financial liability are substantially modified. The difference between the carrying amount of a financial liability extinguished or transferred to another party and the consideration paid (including any noncash assets transferred or liabilities assumed) is recognized in profit or loss.</w:t>
      </w:r>
    </w:p>
    <w:p>
      <w:pPr>
        <w:spacing w:after="0" w:line="180" w:lineRule="exact"/>
        <w:rPr>
          <w:sz w:val="20"/>
          <w:szCs w:val="20"/>
          <w:color w:val="auto"/>
        </w:rPr>
      </w:pPr>
    </w:p>
    <w:p>
      <w:pPr>
        <w:ind w:left="340"/>
        <w:spacing w:after="0"/>
        <w:tabs>
          <w:tab w:leader="none" w:pos="760" w:val="left"/>
        </w:tabs>
        <w:rPr>
          <w:sz w:val="20"/>
          <w:szCs w:val="20"/>
          <w:color w:val="auto"/>
        </w:rPr>
      </w:pPr>
      <w:r>
        <w:rPr>
          <w:rFonts w:ascii="Times New Roman" w:cs="Times New Roman" w:eastAsia="Times New Roman" w:hAnsi="Times New Roman"/>
          <w:sz w:val="18"/>
          <w:szCs w:val="18"/>
          <w:color w:val="auto"/>
        </w:rPr>
        <w:t>(15)</w:t>
      </w:r>
      <w:r>
        <w:rPr>
          <w:sz w:val="20"/>
          <w:szCs w:val="20"/>
          <w:color w:val="auto"/>
        </w:rPr>
        <w:tab/>
      </w:r>
      <w:r>
        <w:rPr>
          <w:rFonts w:ascii="Times New Roman" w:cs="Times New Roman" w:eastAsia="Times New Roman" w:hAnsi="Times New Roman"/>
          <w:sz w:val="17"/>
          <w:szCs w:val="17"/>
          <w:color w:val="auto"/>
        </w:rPr>
        <w:t>Fair value measurement</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‘Fair value’ is the price that would be received to sell an asset or paid to transfer a liability in an orderly transaction between market participants at the measurement date in the principal or, in its absence, the most advantageous market to which the Group has access at that date. In estimating the fair value of assets or liabilities, the Group considers the characteristics of the asset or liability that market participants would take into account when pricing the asset or liability at the measurement date. Except for measurements that are similar to fair value but are not fair value, such as share-based payment transactions within the scope of IFRS 2 </w:t>
      </w:r>
      <w:r>
        <w:rPr>
          <w:rFonts w:ascii="Times New Roman" w:cs="Times New Roman" w:eastAsia="Times New Roman" w:hAnsi="Times New Roman"/>
          <w:sz w:val="18"/>
          <w:szCs w:val="18"/>
          <w:i w:val="1"/>
          <w:iCs w:val="1"/>
          <w:color w:val="auto"/>
        </w:rPr>
        <w:t>Share-based Payment</w:t>
      </w:r>
      <w:r>
        <w:rPr>
          <w:rFonts w:ascii="Times New Roman" w:cs="Times New Roman" w:eastAsia="Times New Roman" w:hAnsi="Times New Roman"/>
          <w:sz w:val="18"/>
          <w:szCs w:val="18"/>
          <w:color w:val="auto"/>
        </w:rPr>
        <w:t xml:space="preserve">, lease transactions within the scope of IAS 17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net realizable value of inventories under IAS 2 </w:t>
      </w:r>
      <w:r>
        <w:rPr>
          <w:rFonts w:ascii="Times New Roman" w:cs="Times New Roman" w:eastAsia="Times New Roman" w:hAnsi="Times New Roman"/>
          <w:sz w:val="18"/>
          <w:szCs w:val="18"/>
          <w:i w:val="1"/>
          <w:iCs w:val="1"/>
          <w:color w:val="auto"/>
        </w:rPr>
        <w:t>Inventories</w:t>
      </w:r>
      <w:r>
        <w:rPr>
          <w:rFonts w:ascii="Times New Roman" w:cs="Times New Roman" w:eastAsia="Times New Roman" w:hAnsi="Times New Roman"/>
          <w:sz w:val="18"/>
          <w:szCs w:val="18"/>
          <w:color w:val="auto"/>
        </w:rPr>
        <w:t>, and value in use under IAS 36</w:t>
      </w:r>
      <w:r>
        <w:rPr>
          <w:rFonts w:ascii="Times New Roman" w:cs="Times New Roman" w:eastAsia="Times New Roman" w:hAnsi="Times New Roman"/>
          <w:sz w:val="18"/>
          <w:szCs w:val="18"/>
          <w:i w:val="1"/>
          <w:iCs w:val="1"/>
          <w:color w:val="auto"/>
        </w:rPr>
        <w:t xml:space="preserve"> Impairment of Assets</w:t>
      </w:r>
      <w:r>
        <w:rPr>
          <w:rFonts w:ascii="Times New Roman" w:cs="Times New Roman" w:eastAsia="Times New Roman" w:hAnsi="Times New Roman"/>
          <w:sz w:val="18"/>
          <w:szCs w:val="18"/>
          <w:color w:val="auto"/>
        </w:rPr>
        <w:t>, fair value measurements or disclosures are determined in accordance with the principles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described above.</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number of the Group’s accounting policies and disclosures require the measurement of fair values, for both financial and non-financial assets and liabilities. Fair values are categorized into different levels in a fair value hierarchy based on the inputs used in the valuation techniques as follows:</w:t>
      </w:r>
    </w:p>
    <w:p>
      <w:pPr>
        <w:spacing w:after="0" w:line="162" w:lineRule="exact"/>
        <w:rPr>
          <w:sz w:val="20"/>
          <w:szCs w:val="20"/>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quoted prices (unadjusted) in active markets for identical assets or liabilities.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inputs other than quoted prices included in Level 1 that are observable for the asset or liability, either directly (i.e., as prices) or indirectly (i.e., derived from prices).</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HANSOL INTICUBE CO.,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7" w:lineRule="exact"/>
        <w:rPr>
          <w:sz w:val="20"/>
          <w:szCs w:val="20"/>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inputs for the asset or liability that are not based on observable market data (unobservable inputs).</w:t>
      </w:r>
    </w:p>
    <w:p>
      <w:pPr>
        <w:spacing w:after="0" w:line="225" w:lineRule="exact"/>
        <w:rPr>
          <w:sz w:val="20"/>
          <w:szCs w:val="20"/>
          <w:color w:val="auto"/>
        </w:rPr>
      </w:pPr>
    </w:p>
    <w:p>
      <w:pPr>
        <w:ind w:left="340"/>
        <w:spacing w:after="0"/>
        <w:tabs>
          <w:tab w:leader="none" w:pos="760" w:val="left"/>
        </w:tabs>
        <w:rPr>
          <w:sz w:val="20"/>
          <w:szCs w:val="20"/>
          <w:color w:val="auto"/>
        </w:rPr>
      </w:pPr>
      <w:r>
        <w:rPr>
          <w:rFonts w:ascii="Times New Roman" w:cs="Times New Roman" w:eastAsia="Times New Roman" w:hAnsi="Times New Roman"/>
          <w:sz w:val="18"/>
          <w:szCs w:val="18"/>
          <w:color w:val="auto"/>
        </w:rPr>
        <w:t>(16)</w:t>
      </w:r>
      <w:r>
        <w:rPr>
          <w:sz w:val="20"/>
          <w:szCs w:val="20"/>
          <w:color w:val="auto"/>
        </w:rPr>
        <w:tab/>
      </w:r>
      <w:r>
        <w:rPr>
          <w:rFonts w:ascii="Times New Roman" w:cs="Times New Roman" w:eastAsia="Times New Roman" w:hAnsi="Times New Roman"/>
          <w:sz w:val="17"/>
          <w:szCs w:val="17"/>
          <w:color w:val="auto"/>
        </w:rPr>
        <w:t>Approval of the financial statements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of the Group was initially approved by the Board of Directors on January 26, 2026, which is subject to change with approval at the annual shareholders’ meeting.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Critical accounting estimates and assumptions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requires the Group to make estimates and assumptions concerning the future. Management also needs to exercise judgement in applying the Group’s accounting policies. Estimates and assumptions are continually evaluated and are based on historical experience and other factors, including expectations of future events that are believed to be reasonable under the circumstances. As the resulting accounting estimates will, by definition, seldom equal the related actual results, it can contain a significant risk of causing a material adjustment.</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estimates and assumptions that have a significant risk of causing a material adjustment to the carrying amounts of assets and liabilities within the next financial year are discussed below. Additional information of significant judgement and assumptions of certain items are included in relevant notes.</w:t>
      </w:r>
    </w:p>
    <w:p>
      <w:pPr>
        <w:spacing w:after="0" w:line="162" w:lineRule="exact"/>
        <w:rPr>
          <w:sz w:val="20"/>
          <w:szCs w:val="20"/>
          <w:color w:val="auto"/>
        </w:rPr>
      </w:pPr>
    </w:p>
    <w:p>
      <w:pPr>
        <w:ind w:left="780" w:hanging="448"/>
        <w:spacing w:after="0"/>
        <w:tabs>
          <w:tab w:leader="none" w:pos="7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recognition</w:t>
      </w:r>
    </w:p>
    <w:p>
      <w:pPr>
        <w:spacing w:after="0" w:line="184" w:lineRule="exact"/>
        <w:rPr>
          <w:sz w:val="20"/>
          <w:szCs w:val="20"/>
          <w:color w:val="auto"/>
        </w:rPr>
      </w:pPr>
    </w:p>
    <w:p>
      <w:pPr>
        <w:jc w:val="both"/>
        <w:spacing w:after="0" w:line="223" w:lineRule="exact"/>
        <w:rPr>
          <w:sz w:val="20"/>
          <w:szCs w:val="20"/>
          <w:color w:val="auto"/>
        </w:rPr>
      </w:pPr>
      <w:r>
        <w:rPr>
          <w:rFonts w:ascii="Times New Roman" w:cs="Times New Roman" w:eastAsia="Times New Roman" w:hAnsi="Times New Roman"/>
          <w:sz w:val="18"/>
          <w:szCs w:val="18"/>
          <w:color w:val="auto"/>
        </w:rPr>
        <w:t>Revenue from construction contracts is recognized over time using the percentage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completion method. The stage of completion is determined based on the proportion of actual cumulative contract costs incurred to date relative to the estimated total contract costs for each contract. Total contract revenue is initially measured based on the contract price agreed with the customer; however, contract revenue may increase as a result of approved variations and incentive payments, or decrease due to liquidated damages incurred when completion is delayed for reasons attributable to the Group. Accordingly, the measurement of contract revenue is subject to various uncertainties related to the outcomes of future events. Contract revenue is included only to the extent that it is highly probable that the customer will approve variations and the related amount of revenue, or that the Group will satisfy the performance criteria for incentive payments, and the amount can be measured reliably. The amount of construction revenue recognized is affected by the stage of completion measured based on actual cumulative contract costs incurred, and estimated total contract costs are determined based on future expectations regarding material costs, labor costs, construction periods, and other relevant factors.</w:t>
      </w:r>
    </w:p>
    <w:p>
      <w:pPr>
        <w:spacing w:after="0" w:line="198" w:lineRule="exact"/>
        <w:rPr>
          <w:sz w:val="20"/>
          <w:szCs w:val="20"/>
          <w:color w:val="auto"/>
        </w:rPr>
      </w:pPr>
    </w:p>
    <w:p>
      <w:pPr>
        <w:ind w:left="780" w:hanging="448"/>
        <w:spacing w:after="0"/>
        <w:tabs>
          <w:tab w:leader="none" w:pos="7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taxes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taxable income generated from the Group’s operations are subject to income taxes based on tax laws and interpretations of tax authorities in numerous jurisdictions. There are many transactions and calculations for which the ultimate tax determination is uncertain (Note 30).</w:t>
      </w:r>
    </w:p>
    <w:p>
      <w:pPr>
        <w:spacing w:after="0" w:line="162" w:lineRule="exact"/>
        <w:rPr>
          <w:sz w:val="20"/>
          <w:szCs w:val="20"/>
          <w:color w:val="auto"/>
        </w:rPr>
      </w:pPr>
    </w:p>
    <w:p>
      <w:pPr>
        <w:ind w:left="780" w:hanging="448"/>
        <w:spacing w:after="0"/>
        <w:tabs>
          <w:tab w:leader="none" w:pos="7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defined benefit liabilities (assets)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present value of net defined benefit liabilities (assets) depends on a number of factors that are determined on an actuarial basis using a number of assumptions including the discount rate (Note 17).</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HANSOL INTICUBE CO.,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Segment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Types of products and services from which the reportable segment derives its revenue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Group’s management determines operating segments based on information reported to the chief operating decision maker for the purpose of allocating resources and assessing segment performance. The Group’s operating segments consist of the AI-based Digital Contact Center segment and the Pet Healthcare segment.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accordance with IFRS 8, the reportable segments of the Group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Classification</w:t>
            </w:r>
          </w:p>
        </w:tc>
        <w:tc>
          <w:tcPr>
            <w:tcW w:w="220" w:type="dxa"/>
            <w:vAlign w:val="bottom"/>
            <w:tcBorders>
              <w:bottom w:val="single" w:sz="8" w:color="CCEEFF"/>
            </w:tcBorders>
          </w:tcPr>
          <w:p>
            <w:pPr>
              <w:spacing w:after="0"/>
              <w:rPr>
                <w:sz w:val="20"/>
                <w:szCs w:val="20"/>
                <w:color w:val="auto"/>
              </w:rPr>
            </w:pPr>
          </w:p>
        </w:tc>
        <w:tc>
          <w:tcPr>
            <w:tcW w:w="5620" w:type="dxa"/>
            <w:vAlign w:val="bottom"/>
            <w:tcBorders>
              <w:bottom w:val="single" w:sz="8" w:color="auto"/>
            </w:tcBorders>
          </w:tcPr>
          <w:p>
            <w:pPr>
              <w:ind w:left="1580"/>
              <w:spacing w:after="0"/>
              <w:rPr>
                <w:sz w:val="20"/>
                <w:szCs w:val="20"/>
                <w:color w:val="auto"/>
              </w:rPr>
            </w:pPr>
            <w:r>
              <w:rPr>
                <w:rFonts w:ascii="Times New Roman" w:cs="Times New Roman" w:eastAsia="Times New Roman" w:hAnsi="Times New Roman"/>
                <w:sz w:val="18"/>
                <w:szCs w:val="18"/>
                <w:b w:val="1"/>
                <w:bCs w:val="1"/>
                <w:color w:val="auto"/>
              </w:rPr>
              <w:t>AI-based Digital Contact Center</w:t>
            </w:r>
          </w:p>
        </w:tc>
        <w:tc>
          <w:tcPr>
            <w:tcW w:w="220" w:type="dxa"/>
            <w:vAlign w:val="bottom"/>
            <w:tcBorders>
              <w:bottom w:val="single" w:sz="8" w:color="CCEEFF"/>
            </w:tcBorders>
          </w:tcPr>
          <w:p>
            <w:pPr>
              <w:spacing w:after="0"/>
              <w:rPr>
                <w:sz w:val="20"/>
                <w:szCs w:val="20"/>
                <w:color w:val="auto"/>
              </w:rPr>
            </w:pPr>
          </w:p>
        </w:tc>
        <w:tc>
          <w:tcPr>
            <w:tcW w:w="258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Pet Healthcare Segment</w:t>
            </w:r>
          </w:p>
        </w:tc>
      </w:tr>
      <w:tr>
        <w:trPr>
          <w:trHeight w:val="191"/>
        </w:trPr>
        <w:tc>
          <w:tcPr>
            <w:tcW w:w="260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Services provided</w:t>
            </w:r>
          </w:p>
        </w:tc>
        <w:tc>
          <w:tcPr>
            <w:tcW w:w="220" w:type="dxa"/>
            <w:vAlign w:val="bottom"/>
            <w:shd w:val="clear" w:color="auto" w:fill="CCEEFF"/>
          </w:tcPr>
          <w:p>
            <w:pPr>
              <w:spacing w:after="0"/>
              <w:rPr>
                <w:sz w:val="16"/>
                <w:szCs w:val="16"/>
                <w:color w:val="auto"/>
              </w:rPr>
            </w:pPr>
          </w:p>
        </w:tc>
        <w:tc>
          <w:tcPr>
            <w:tcW w:w="562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CRM solutions, SMS and MMS infrastructure development and operation</w:t>
            </w:r>
          </w:p>
        </w:tc>
        <w:tc>
          <w:tcPr>
            <w:tcW w:w="220" w:type="dxa"/>
            <w:vAlign w:val="bottom"/>
            <w:shd w:val="clear" w:color="auto" w:fill="CCEEFF"/>
          </w:tcPr>
          <w:p>
            <w:pPr>
              <w:spacing w:after="0"/>
              <w:rPr>
                <w:sz w:val="16"/>
                <w:szCs w:val="16"/>
                <w:color w:val="auto"/>
              </w:rPr>
            </w:pPr>
          </w:p>
        </w:tc>
        <w:tc>
          <w:tcPr>
            <w:tcW w:w="258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Pet food manufacturing and sales</w:t>
            </w:r>
          </w:p>
        </w:tc>
      </w:tr>
      <w:tr>
        <w:trPr>
          <w:trHeight w:val="234"/>
        </w:trPr>
        <w:tc>
          <w:tcPr>
            <w:tcW w:w="2600" w:type="dxa"/>
            <w:vAlign w:val="bottom"/>
            <w:shd w:val="clear" w:color="auto" w:fill="CCEEFF"/>
          </w:tcPr>
          <w:p>
            <w:pPr>
              <w:spacing w:after="0"/>
              <w:rPr>
                <w:sz w:val="20"/>
                <w:szCs w:val="20"/>
                <w:color w:val="auto"/>
              </w:rPr>
            </w:pPr>
          </w:p>
        </w:tc>
        <w:tc>
          <w:tcPr>
            <w:tcW w:w="58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services</w:t>
            </w:r>
          </w:p>
        </w:tc>
        <w:tc>
          <w:tcPr>
            <w:tcW w:w="220" w:type="dxa"/>
            <w:vAlign w:val="bottom"/>
            <w:shd w:val="clear" w:color="auto" w:fill="CCEEFF"/>
          </w:tcPr>
          <w:p>
            <w:pPr>
              <w:spacing w:after="0"/>
              <w:rPr>
                <w:sz w:val="20"/>
                <w:szCs w:val="20"/>
                <w:color w:val="auto"/>
              </w:rPr>
            </w:pPr>
          </w:p>
        </w:tc>
        <w:tc>
          <w:tcPr>
            <w:tcW w:w="2580" w:type="dxa"/>
            <w:vAlign w:val="bottom"/>
            <w:shd w:val="clear" w:color="auto" w:fill="CCEEFF"/>
          </w:tcPr>
          <w:p>
            <w:pPr>
              <w:spacing w:after="0"/>
              <w:rPr>
                <w:sz w:val="20"/>
                <w:szCs w:val="20"/>
                <w:color w:val="auto"/>
              </w:rPr>
            </w:pPr>
          </w:p>
        </w:tc>
      </w:tr>
      <w:tr>
        <w:trPr>
          <w:trHeight w:val="198"/>
        </w:trPr>
        <w:tc>
          <w:tcPr>
            <w:tcW w:w="26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Major customers</w:t>
            </w:r>
          </w:p>
        </w:tc>
        <w:tc>
          <w:tcPr>
            <w:tcW w:w="5840" w:type="dxa"/>
            <w:vAlign w:val="bottom"/>
            <w:gridSpan w:val="2"/>
          </w:tcPr>
          <w:p>
            <w:pPr>
              <w:ind w:left="220"/>
              <w:spacing w:after="0" w:line="198" w:lineRule="exact"/>
              <w:rPr>
                <w:sz w:val="20"/>
                <w:szCs w:val="20"/>
                <w:color w:val="auto"/>
              </w:rPr>
            </w:pPr>
            <w:r>
              <w:rPr>
                <w:rFonts w:ascii="Times New Roman" w:cs="Times New Roman" w:eastAsia="Times New Roman" w:hAnsi="Times New Roman"/>
                <w:sz w:val="18"/>
                <w:szCs w:val="18"/>
                <w:color w:val="auto"/>
              </w:rPr>
              <w:t>Banks and financial institutions, general corporations, wired and wireless</w:t>
            </w:r>
          </w:p>
        </w:tc>
        <w:tc>
          <w:tcPr>
            <w:tcW w:w="2800" w:type="dxa"/>
            <w:vAlign w:val="bottom"/>
            <w:gridSpan w:val="2"/>
          </w:tcPr>
          <w:p>
            <w:pPr>
              <w:ind w:left="220"/>
              <w:spacing w:after="0" w:line="198" w:lineRule="exact"/>
              <w:rPr>
                <w:sz w:val="20"/>
                <w:szCs w:val="20"/>
                <w:color w:val="auto"/>
              </w:rPr>
            </w:pPr>
            <w:r>
              <w:rPr>
                <w:rFonts w:ascii="Times New Roman" w:cs="Times New Roman" w:eastAsia="Times New Roman" w:hAnsi="Times New Roman"/>
                <w:sz w:val="18"/>
                <w:szCs w:val="18"/>
                <w:color w:val="auto"/>
              </w:rPr>
              <w:t>General consumers</w:t>
            </w:r>
          </w:p>
        </w:tc>
      </w:tr>
      <w:tr>
        <w:trPr>
          <w:trHeight w:val="234"/>
        </w:trPr>
        <w:tc>
          <w:tcPr>
            <w:tcW w:w="2600" w:type="dxa"/>
            <w:vAlign w:val="bottom"/>
          </w:tcPr>
          <w:p>
            <w:pPr>
              <w:spacing w:after="0"/>
              <w:rPr>
                <w:sz w:val="20"/>
                <w:szCs w:val="20"/>
                <w:color w:val="auto"/>
              </w:rPr>
            </w:pPr>
          </w:p>
        </w:tc>
        <w:tc>
          <w:tcPr>
            <w:tcW w:w="58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telecommunications operators</w:t>
            </w:r>
          </w:p>
        </w:tc>
        <w:tc>
          <w:tcPr>
            <w:tcW w:w="220" w:type="dxa"/>
            <w:vAlign w:val="bottom"/>
          </w:tcPr>
          <w:p>
            <w:pPr>
              <w:spacing w:after="0"/>
              <w:rPr>
                <w:sz w:val="20"/>
                <w:szCs w:val="20"/>
                <w:color w:val="auto"/>
              </w:rPr>
            </w:pPr>
          </w:p>
        </w:tc>
        <w:tc>
          <w:tcPr>
            <w:tcW w:w="2580" w:type="dxa"/>
            <w:vAlign w:val="bottom"/>
          </w:tcPr>
          <w:p>
            <w:pPr>
              <w:spacing w:after="0"/>
              <w:rPr>
                <w:sz w:val="20"/>
                <w:szCs w:val="20"/>
                <w:color w:val="auto"/>
              </w:rPr>
            </w:pPr>
          </w:p>
        </w:tc>
      </w:tr>
      <w:tr>
        <w:trPr>
          <w:trHeight w:val="216"/>
        </w:trPr>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channels</w:t>
            </w:r>
          </w:p>
        </w:tc>
        <w:tc>
          <w:tcPr>
            <w:tcW w:w="58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RFP and public bidding</w:t>
            </w:r>
          </w:p>
        </w:tc>
        <w:tc>
          <w:tcPr>
            <w:tcW w:w="28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Websites and social commerce</w:t>
            </w:r>
          </w:p>
        </w:tc>
      </w:tr>
    </w:tbl>
    <w:p>
      <w:pPr>
        <w:spacing w:after="0" w:line="194"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B.</w:t>
      </w:r>
      <w:r>
        <w:rPr>
          <w:sz w:val="20"/>
          <w:szCs w:val="20"/>
          <w:color w:val="auto"/>
        </w:rPr>
        <w:tab/>
      </w:r>
      <w:r>
        <w:rPr>
          <w:rFonts w:ascii="Times New Roman" w:cs="Times New Roman" w:eastAsia="Times New Roman" w:hAnsi="Times New Roman"/>
          <w:sz w:val="17"/>
          <w:szCs w:val="17"/>
          <w:b w:val="1"/>
          <w:bCs w:val="1"/>
          <w:color w:val="auto"/>
        </w:rPr>
        <w:t>Segment revenue and operating results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revenue and operating profit (loss) by reportable segments for the year ended December 31, 2025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2"/>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402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1300" w:type="dxa"/>
            <w:vAlign w:val="bottom"/>
          </w:tcPr>
          <w:p>
            <w:pPr>
              <w:jc w:val="center"/>
              <w:ind w:right="30"/>
              <w:spacing w:after="0" w:line="188" w:lineRule="exact"/>
              <w:rPr>
                <w:sz w:val="20"/>
                <w:szCs w:val="20"/>
                <w:color w:val="auto"/>
              </w:rPr>
            </w:pPr>
            <w:r>
              <w:rPr>
                <w:rFonts w:ascii="Times New Roman" w:cs="Times New Roman" w:eastAsia="Times New Roman" w:hAnsi="Times New Roman"/>
                <w:sz w:val="18"/>
                <w:szCs w:val="18"/>
                <w:b w:val="1"/>
                <w:bCs w:val="1"/>
                <w:color w:val="auto"/>
                <w:w w:val="99"/>
              </w:rPr>
              <w:t>AI-based</w:t>
            </w:r>
          </w:p>
        </w:tc>
        <w:tc>
          <w:tcPr>
            <w:tcW w:w="13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40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3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Digital</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Pet</w:t>
            </w:r>
          </w:p>
        </w:tc>
        <w:tc>
          <w:tcPr>
            <w:tcW w:w="1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3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Contact</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Healthcare</w:t>
            </w:r>
          </w:p>
        </w:tc>
        <w:tc>
          <w:tcPr>
            <w:tcW w:w="1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40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3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Center</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Segment</w:t>
            </w:r>
          </w:p>
        </w:tc>
        <w:tc>
          <w:tcPr>
            <w:tcW w:w="148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Intersegment</w:t>
            </w:r>
          </w:p>
        </w:tc>
        <w:tc>
          <w:tcPr>
            <w:tcW w:w="114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40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2800" w:type="dxa"/>
            <w:vAlign w:val="bottom"/>
            <w:tcBorders>
              <w:top w:val="single" w:sz="8" w:color="auto"/>
            </w:tcBorders>
            <w:gridSpan w:val="2"/>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(In thousands of Korean won)</w:t>
            </w: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980" w:type="dxa"/>
            <w:vAlign w:val="bottom"/>
            <w:shd w:val="clear" w:color="auto" w:fill="CCEEFF"/>
          </w:tcPr>
          <w:p>
            <w:pPr>
              <w:ind w:left="164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60,250,812</w:t>
            </w:r>
          </w:p>
        </w:tc>
        <w:tc>
          <w:tcPr>
            <w:tcW w:w="1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4,567,430</w:t>
            </w:r>
          </w:p>
        </w:tc>
        <w:tc>
          <w:tcPr>
            <w:tcW w:w="14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64,818,242</w:t>
            </w: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1980" w:type="dxa"/>
            <w:vAlign w:val="bottom"/>
          </w:tcPr>
          <w:p>
            <w:pPr>
              <w:spacing w:after="0"/>
              <w:rPr>
                <w:sz w:val="18"/>
                <w:szCs w:val="18"/>
                <w:color w:val="auto"/>
              </w:rPr>
            </w:pPr>
          </w:p>
        </w:tc>
        <w:tc>
          <w:tcPr>
            <w:tcW w:w="1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1,007,447</w:t>
            </w:r>
          </w:p>
        </w:tc>
        <w:tc>
          <w:tcPr>
            <w:tcW w:w="1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304,416</w:t>
            </w:r>
          </w:p>
        </w:tc>
        <w:tc>
          <w:tcPr>
            <w:tcW w:w="14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3,158</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1,315,021</w:t>
            </w:r>
          </w:p>
        </w:tc>
      </w:tr>
      <w:tr>
        <w:trPr>
          <w:trHeight w:val="216"/>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9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243,661</w:t>
            </w:r>
          </w:p>
        </w:tc>
        <w:tc>
          <w:tcPr>
            <w:tcW w:w="1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2,753</w:t>
            </w:r>
          </w:p>
        </w:tc>
        <w:tc>
          <w:tcPr>
            <w:tcW w:w="14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246,414</w:t>
            </w:r>
          </w:p>
        </w:tc>
      </w:tr>
      <w:tr>
        <w:trPr>
          <w:trHeight w:val="303"/>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Operating profit (loss)</w:t>
            </w:r>
          </w:p>
        </w:tc>
        <w:tc>
          <w:tcPr>
            <w:tcW w:w="1980" w:type="dxa"/>
            <w:vAlign w:val="bottom"/>
          </w:tcPr>
          <w:p>
            <w:pPr>
              <w:ind w:left="164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786,977</w:t>
            </w:r>
          </w:p>
        </w:tc>
        <w:tc>
          <w:tcPr>
            <w:tcW w:w="1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263,163</w:t>
            </w:r>
          </w:p>
        </w:tc>
        <w:tc>
          <w:tcPr>
            <w:tcW w:w="14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(3,158)</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1,046,982</w:t>
            </w:r>
          </w:p>
        </w:tc>
      </w:tr>
    </w:tbl>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Segment assets and liabilities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assets and liabilities by reportable segments as of December 31, 2025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8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2"/>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368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1240" w:type="dxa"/>
            <w:vAlign w:val="bottom"/>
          </w:tcPr>
          <w:p>
            <w:pPr>
              <w:jc w:val="center"/>
              <w:ind w:right="50"/>
              <w:spacing w:after="0" w:line="188" w:lineRule="exact"/>
              <w:rPr>
                <w:sz w:val="20"/>
                <w:szCs w:val="20"/>
                <w:color w:val="auto"/>
              </w:rPr>
            </w:pPr>
            <w:r>
              <w:rPr>
                <w:rFonts w:ascii="Times New Roman" w:cs="Times New Roman" w:eastAsia="Times New Roman" w:hAnsi="Times New Roman"/>
                <w:sz w:val="18"/>
                <w:szCs w:val="18"/>
                <w:b w:val="1"/>
                <w:bCs w:val="1"/>
                <w:color w:val="auto"/>
                <w:w w:val="99"/>
              </w:rPr>
              <w:t>AI-based</w:t>
            </w:r>
          </w:p>
        </w:tc>
        <w:tc>
          <w:tcPr>
            <w:tcW w:w="13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36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2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Digital</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Pet</w:t>
            </w:r>
          </w:p>
        </w:tc>
        <w:tc>
          <w:tcPr>
            <w:tcW w:w="1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6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2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Contact</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Healthcare</w:t>
            </w:r>
          </w:p>
        </w:tc>
        <w:tc>
          <w:tcPr>
            <w:tcW w:w="1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368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12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Center</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Segment</w:t>
            </w:r>
          </w:p>
        </w:tc>
        <w:tc>
          <w:tcPr>
            <w:tcW w:w="14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Adjustments</w:t>
            </w:r>
          </w:p>
        </w:tc>
        <w:tc>
          <w:tcPr>
            <w:tcW w:w="114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36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800" w:type="dxa"/>
            <w:vAlign w:val="bottom"/>
            <w:tcBorders>
              <w:top w:val="single" w:sz="8" w:color="auto"/>
            </w:tcBorders>
            <w:gridSpan w:val="2"/>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(In thousands of Korean won)</w:t>
            </w: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380" w:type="dxa"/>
            <w:vAlign w:val="bottom"/>
            <w:shd w:val="clear" w:color="auto" w:fill="CCEEFF"/>
          </w:tcPr>
          <w:p>
            <w:pPr>
              <w:ind w:left="210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31,862,422</w:t>
            </w:r>
          </w:p>
        </w:tc>
        <w:tc>
          <w:tcPr>
            <w:tcW w:w="1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2,083,672</w:t>
            </w:r>
          </w:p>
        </w:tc>
        <w:tc>
          <w:tcPr>
            <w:tcW w:w="14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(995,850)</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32,950,244</w:t>
            </w: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Non-current assets (*)</w:t>
            </w:r>
          </w:p>
        </w:tc>
        <w:tc>
          <w:tcPr>
            <w:tcW w:w="2380" w:type="dxa"/>
            <w:vAlign w:val="bottom"/>
          </w:tcPr>
          <w:p>
            <w:pPr>
              <w:spacing w:after="0"/>
              <w:rPr>
                <w:sz w:val="18"/>
                <w:szCs w:val="18"/>
                <w:color w:val="auto"/>
              </w:rPr>
            </w:pPr>
          </w:p>
        </w:tc>
        <w:tc>
          <w:tcPr>
            <w:tcW w:w="1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7,130,946</w:t>
            </w:r>
          </w:p>
        </w:tc>
        <w:tc>
          <w:tcPr>
            <w:tcW w:w="1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261,619</w:t>
            </w:r>
          </w:p>
        </w:tc>
        <w:tc>
          <w:tcPr>
            <w:tcW w:w="14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(995,309)</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6,397,256</w:t>
            </w:r>
          </w:p>
        </w:tc>
      </w:tr>
      <w:tr>
        <w:trPr>
          <w:trHeight w:val="216"/>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2380" w:type="dxa"/>
            <w:vAlign w:val="bottom"/>
            <w:shd w:val="clear" w:color="auto" w:fill="CCEEFF"/>
          </w:tcPr>
          <w:p>
            <w:pPr>
              <w:ind w:left="210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18,437,410</w:t>
            </w:r>
          </w:p>
        </w:tc>
        <w:tc>
          <w:tcPr>
            <w:tcW w:w="1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1,005,231</w:t>
            </w:r>
          </w:p>
        </w:tc>
        <w:tc>
          <w:tcPr>
            <w:tcW w:w="14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19,442,641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Non-current assets exclude financial assets, deferred tax assets, net defined benefit assets, and contract assets.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Information about geographical areas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Group operates only in the domestic market. Accordingly, all major non-current assets related to operations are located in Korea.</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HANSOL INTICUBE CO.,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E.</w:t>
      </w:r>
      <w:r>
        <w:rPr>
          <w:sz w:val="20"/>
          <w:szCs w:val="20"/>
          <w:color w:val="auto"/>
        </w:rPr>
        <w:tab/>
      </w:r>
      <w:r>
        <w:rPr>
          <w:rFonts w:ascii="Times New Roman" w:cs="Times New Roman" w:eastAsia="Times New Roman" w:hAnsi="Times New Roman"/>
          <w:sz w:val="17"/>
          <w:szCs w:val="17"/>
          <w:b w:val="1"/>
          <w:bCs w:val="1"/>
          <w:color w:val="auto"/>
        </w:rPr>
        <w:t>Information about major customers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about external customers accounting for 10% or more of the Group’s revenue for the year ended December 31, 2025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38"/>
        </w:trPr>
        <w:tc>
          <w:tcPr>
            <w:tcW w:w="3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3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2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8"/>
              </w:rPr>
              <w:t>(In thousands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of Korean</w:t>
            </w:r>
          </w:p>
        </w:tc>
        <w:tc>
          <w:tcPr>
            <w:tcW w:w="0" w:type="dxa"/>
            <w:vAlign w:val="bottom"/>
          </w:tcPr>
          <w:p>
            <w:pPr>
              <w:spacing w:after="0"/>
              <w:rPr>
                <w:sz w:val="1"/>
                <w:szCs w:val="1"/>
                <w:color w:val="auto"/>
              </w:rPr>
            </w:pPr>
          </w:p>
        </w:tc>
      </w:tr>
      <w:tr>
        <w:trPr>
          <w:trHeight w:val="238"/>
        </w:trPr>
        <w:tc>
          <w:tcPr>
            <w:tcW w:w="3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won)</w:t>
            </w:r>
          </w:p>
        </w:tc>
        <w:tc>
          <w:tcPr>
            <w:tcW w:w="0" w:type="dxa"/>
            <w:vAlign w:val="bottom"/>
          </w:tcPr>
          <w:p>
            <w:pPr>
              <w:spacing w:after="0"/>
              <w:rPr>
                <w:sz w:val="1"/>
                <w:szCs w:val="1"/>
                <w:color w:val="auto"/>
              </w:rPr>
            </w:pPr>
          </w:p>
        </w:tc>
      </w:tr>
      <w:tr>
        <w:trPr>
          <w:trHeight w:val="216"/>
        </w:trPr>
        <w:tc>
          <w:tcPr>
            <w:tcW w:w="3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A</w:t>
            </w:r>
          </w:p>
        </w:tc>
        <w:tc>
          <w:tcPr>
            <w:tcW w:w="6180" w:type="dxa"/>
            <w:vAlign w:val="bottom"/>
            <w:shd w:val="clear" w:color="auto" w:fill="CCEEFF"/>
          </w:tcPr>
          <w:p>
            <w:pPr>
              <w:spacing w:after="0"/>
              <w:rPr>
                <w:sz w:val="18"/>
                <w:szCs w:val="18"/>
                <w:color w:val="auto"/>
              </w:rPr>
            </w:pPr>
          </w:p>
        </w:tc>
        <w:tc>
          <w:tcPr>
            <w:tcW w:w="3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14,567,098</w:t>
            </w:r>
          </w:p>
        </w:tc>
        <w:tc>
          <w:tcPr>
            <w:tcW w:w="0" w:type="dxa"/>
            <w:vAlign w:val="bottom"/>
          </w:tcPr>
          <w:p>
            <w:pPr>
              <w:spacing w:after="0"/>
              <w:rPr>
                <w:sz w:val="1"/>
                <w:szCs w:val="1"/>
                <w:color w:val="auto"/>
              </w:rPr>
            </w:pPr>
          </w:p>
        </w:tc>
      </w:tr>
      <w:tr>
        <w:trPr>
          <w:trHeight w:val="216"/>
        </w:trPr>
        <w:tc>
          <w:tcPr>
            <w:tcW w:w="3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Customer B</w:t>
            </w:r>
          </w:p>
        </w:tc>
        <w:tc>
          <w:tcPr>
            <w:tcW w:w="6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10,717,103</w:t>
            </w:r>
          </w:p>
        </w:tc>
        <w:tc>
          <w:tcPr>
            <w:tcW w:w="0" w:type="dxa"/>
            <w:vAlign w:val="bottom"/>
          </w:tcPr>
          <w:p>
            <w:pPr>
              <w:spacing w:after="0"/>
              <w:rPr>
                <w:sz w:val="1"/>
                <w:szCs w:val="1"/>
                <w:color w:val="auto"/>
              </w:rPr>
            </w:pPr>
          </w:p>
        </w:tc>
      </w:tr>
      <w:tr>
        <w:trPr>
          <w:trHeight w:val="216"/>
        </w:trPr>
        <w:tc>
          <w:tcPr>
            <w:tcW w:w="3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C</w:t>
            </w:r>
          </w:p>
        </w:tc>
        <w:tc>
          <w:tcPr>
            <w:tcW w:w="6180" w:type="dxa"/>
            <w:vAlign w:val="bottom"/>
            <w:shd w:val="clear" w:color="auto" w:fill="CCEEFF"/>
          </w:tcPr>
          <w:p>
            <w:pPr>
              <w:spacing w:after="0"/>
              <w:rPr>
                <w:sz w:val="18"/>
                <w:szCs w:val="18"/>
                <w:color w:val="auto"/>
              </w:rPr>
            </w:pPr>
          </w:p>
        </w:tc>
        <w:tc>
          <w:tcPr>
            <w:tcW w:w="3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9,166,524</w:t>
            </w:r>
          </w:p>
        </w:tc>
        <w:tc>
          <w:tcPr>
            <w:tcW w:w="0" w:type="dxa"/>
            <w:vAlign w:val="bottom"/>
          </w:tcPr>
          <w:p>
            <w:pPr>
              <w:spacing w:after="0"/>
              <w:rPr>
                <w:sz w:val="1"/>
                <w:szCs w:val="1"/>
                <w:color w:val="auto"/>
              </w:rPr>
            </w:pPr>
          </w:p>
        </w:tc>
      </w:tr>
      <w:tr>
        <w:trPr>
          <w:trHeight w:val="432"/>
        </w:trPr>
        <w:tc>
          <w:tcPr>
            <w:tcW w:w="96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5. Cash and Cash Equivalents and Short-term financial instruments</w:t>
            </w: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Details of cash and cash equivalents and short-term financial instruments as of December 31, 2025 are as follows:</w:t>
            </w: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3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38"/>
        </w:trPr>
        <w:tc>
          <w:tcPr>
            <w:tcW w:w="3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3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2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8"/>
              </w:rPr>
              <w:t>(In thousands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of Korean</w:t>
            </w:r>
          </w:p>
        </w:tc>
        <w:tc>
          <w:tcPr>
            <w:tcW w:w="0" w:type="dxa"/>
            <w:vAlign w:val="bottom"/>
          </w:tcPr>
          <w:p>
            <w:pPr>
              <w:spacing w:after="0"/>
              <w:rPr>
                <w:sz w:val="1"/>
                <w:szCs w:val="1"/>
                <w:color w:val="auto"/>
              </w:rPr>
            </w:pPr>
          </w:p>
        </w:tc>
      </w:tr>
      <w:tr>
        <w:trPr>
          <w:trHeight w:val="238"/>
        </w:trPr>
        <w:tc>
          <w:tcPr>
            <w:tcW w:w="3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won)</w:t>
            </w:r>
          </w:p>
        </w:tc>
        <w:tc>
          <w:tcPr>
            <w:tcW w:w="0" w:type="dxa"/>
            <w:vAlign w:val="bottom"/>
          </w:tcPr>
          <w:p>
            <w:pPr>
              <w:spacing w:after="0"/>
              <w:rPr>
                <w:sz w:val="1"/>
                <w:szCs w:val="1"/>
                <w:color w:val="auto"/>
              </w:rPr>
            </w:pPr>
          </w:p>
        </w:tc>
      </w:tr>
      <w:tr>
        <w:trPr>
          <w:trHeight w:val="216"/>
        </w:trPr>
        <w:tc>
          <w:tcPr>
            <w:tcW w:w="3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Deposit in banks</w:t>
            </w:r>
          </w:p>
        </w:tc>
        <w:tc>
          <w:tcPr>
            <w:tcW w:w="6180" w:type="dxa"/>
            <w:vAlign w:val="bottom"/>
            <w:shd w:val="clear" w:color="auto" w:fill="CCEEFF"/>
          </w:tcPr>
          <w:p>
            <w:pPr>
              <w:spacing w:after="0"/>
              <w:rPr>
                <w:sz w:val="18"/>
                <w:szCs w:val="18"/>
                <w:color w:val="auto"/>
              </w:rPr>
            </w:pPr>
          </w:p>
        </w:tc>
        <w:tc>
          <w:tcPr>
            <w:tcW w:w="3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2,295,359</w:t>
            </w:r>
          </w:p>
        </w:tc>
        <w:tc>
          <w:tcPr>
            <w:tcW w:w="0" w:type="dxa"/>
            <w:vAlign w:val="bottom"/>
          </w:tcPr>
          <w:p>
            <w:pPr>
              <w:spacing w:after="0"/>
              <w:rPr>
                <w:sz w:val="1"/>
                <w:szCs w:val="1"/>
                <w:color w:val="auto"/>
              </w:rPr>
            </w:pPr>
          </w:p>
        </w:tc>
      </w:tr>
      <w:tr>
        <w:trPr>
          <w:trHeight w:val="230"/>
        </w:trPr>
        <w:tc>
          <w:tcPr>
            <w:tcW w:w="3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Short-term financial instruments</w:t>
            </w:r>
          </w:p>
        </w:tc>
        <w:tc>
          <w:tcPr>
            <w:tcW w:w="6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5,837</w:t>
            </w:r>
          </w:p>
        </w:tc>
        <w:tc>
          <w:tcPr>
            <w:tcW w:w="0" w:type="dxa"/>
            <w:vAlign w:val="bottom"/>
          </w:tcPr>
          <w:p>
            <w:pPr>
              <w:spacing w:after="0"/>
              <w:rPr>
                <w:sz w:val="1"/>
                <w:szCs w:val="1"/>
                <w:color w:val="auto"/>
              </w:rPr>
            </w:pPr>
          </w:p>
        </w:tc>
      </w:tr>
      <w:tr>
        <w:trPr>
          <w:trHeight w:val="223"/>
        </w:trPr>
        <w:tc>
          <w:tcPr>
            <w:tcW w:w="33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6180" w:type="dxa"/>
            <w:vAlign w:val="bottom"/>
            <w:tcBorders>
              <w:top w:val="single" w:sz="8" w:color="CCEEFF"/>
              <w:bottom w:val="single" w:sz="8" w:color="CCEEFF"/>
            </w:tcBorders>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2,301,196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6. Restricted financial assets</w:t>
            </w:r>
          </w:p>
        </w:tc>
        <w:tc>
          <w:tcPr>
            <w:tcW w:w="6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460" w:type="dxa"/>
            <w:vAlign w:val="bottom"/>
            <w:gridSpan w:val="2"/>
            <w:vMerge w:val="continue"/>
          </w:tcPr>
          <w:p>
            <w:pPr>
              <w:spacing w:after="0"/>
              <w:rPr>
                <w:sz w:val="24"/>
                <w:szCs w:val="24"/>
                <w:color w:val="auto"/>
              </w:rPr>
            </w:pPr>
          </w:p>
        </w:tc>
        <w:tc>
          <w:tcPr>
            <w:tcW w:w="6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Details of restricted financial assets as of December 31, 2025 are as follows:</w:t>
            </w: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3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38"/>
        </w:trPr>
        <w:tc>
          <w:tcPr>
            <w:tcW w:w="3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3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2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8"/>
              </w:rPr>
              <w:t>(In thousands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of Korean</w:t>
            </w:r>
          </w:p>
        </w:tc>
        <w:tc>
          <w:tcPr>
            <w:tcW w:w="0" w:type="dxa"/>
            <w:vAlign w:val="bottom"/>
          </w:tcPr>
          <w:p>
            <w:pPr>
              <w:spacing w:after="0"/>
              <w:rPr>
                <w:sz w:val="1"/>
                <w:szCs w:val="1"/>
                <w:color w:val="auto"/>
              </w:rPr>
            </w:pPr>
          </w:p>
        </w:tc>
      </w:tr>
      <w:tr>
        <w:trPr>
          <w:trHeight w:val="238"/>
        </w:trPr>
        <w:tc>
          <w:tcPr>
            <w:tcW w:w="3460" w:type="dxa"/>
            <w:vAlign w:val="bottom"/>
            <w:gridSpan w:val="2"/>
          </w:tcPr>
          <w:p>
            <w:pPr>
              <w:ind w:left="1360"/>
              <w:spacing w:after="0"/>
              <w:rPr>
                <w:sz w:val="20"/>
                <w:szCs w:val="20"/>
                <w:color w:val="auto"/>
              </w:rPr>
            </w:pPr>
            <w:r>
              <w:rPr>
                <w:rFonts w:ascii="Times New Roman" w:cs="Times New Roman" w:eastAsia="Times New Roman" w:hAnsi="Times New Roman"/>
                <w:sz w:val="18"/>
                <w:szCs w:val="18"/>
                <w:b w:val="1"/>
                <w:bCs w:val="1"/>
                <w:color w:val="auto"/>
              </w:rPr>
              <w:t>Account</w:t>
            </w:r>
          </w:p>
        </w:tc>
        <w:tc>
          <w:tcPr>
            <w:tcW w:w="6180" w:type="dxa"/>
            <w:vAlign w:val="bottom"/>
          </w:tcPr>
          <w:p>
            <w:pPr>
              <w:ind w:left="264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380" w:type="dxa"/>
            <w:vAlign w:val="bottom"/>
          </w:tcPr>
          <w:p>
            <w:pPr>
              <w:spacing w:after="0"/>
              <w:rPr>
                <w:sz w:val="20"/>
                <w:szCs w:val="20"/>
                <w:color w:val="auto"/>
              </w:rPr>
            </w:pP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won)</w:t>
            </w:r>
          </w:p>
        </w:tc>
        <w:tc>
          <w:tcPr>
            <w:tcW w:w="0" w:type="dxa"/>
            <w:vAlign w:val="bottom"/>
          </w:tcPr>
          <w:p>
            <w:pPr>
              <w:spacing w:after="0"/>
              <w:rPr>
                <w:sz w:val="1"/>
                <w:szCs w:val="1"/>
                <w:color w:val="auto"/>
              </w:rPr>
            </w:pPr>
          </w:p>
        </w:tc>
      </w:tr>
      <w:tr>
        <w:trPr>
          <w:trHeight w:val="191"/>
        </w:trPr>
        <w:tc>
          <w:tcPr>
            <w:tcW w:w="336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Financial assets at fair value through profit or</w:t>
            </w:r>
          </w:p>
        </w:tc>
        <w:tc>
          <w:tcPr>
            <w:tcW w:w="100" w:type="dxa"/>
            <w:vAlign w:val="bottom"/>
            <w:tcBorders>
              <w:top w:val="single" w:sz="8" w:color="CCEEFF"/>
            </w:tcBorders>
            <w:shd w:val="clear" w:color="auto" w:fill="CCEEFF"/>
          </w:tcPr>
          <w:p>
            <w:pPr>
              <w:spacing w:after="0"/>
              <w:rPr>
                <w:sz w:val="16"/>
                <w:szCs w:val="16"/>
                <w:color w:val="auto"/>
              </w:rPr>
            </w:pPr>
          </w:p>
        </w:tc>
        <w:tc>
          <w:tcPr>
            <w:tcW w:w="618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Pledge provided in connection with project performance guarantees and others (*)</w:t>
            </w:r>
          </w:p>
        </w:tc>
        <w:tc>
          <w:tcPr>
            <w:tcW w:w="380" w:type="dxa"/>
            <w:vAlign w:val="bottom"/>
            <w:tcBorders>
              <w:top w:val="single" w:sz="8" w:color="CCEEFF"/>
            </w:tcBorders>
            <w:vMerge w:val="restart"/>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4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w:t>
            </w:r>
          </w:p>
        </w:tc>
        <w:tc>
          <w:tcPr>
            <w:tcW w:w="6180" w:type="dxa"/>
            <w:vAlign w:val="bottom"/>
            <w:shd w:val="clear" w:color="auto" w:fill="CCEEFF"/>
          </w:tcPr>
          <w:p>
            <w:pPr>
              <w:spacing w:after="0"/>
              <w:rPr>
                <w:sz w:val="20"/>
                <w:szCs w:val="20"/>
                <w:color w:val="auto"/>
              </w:rPr>
            </w:pPr>
          </w:p>
        </w:tc>
        <w:tc>
          <w:tcPr>
            <w:tcW w:w="380" w:type="dxa"/>
            <w:vAlign w:val="bottom"/>
            <w:vMerge w:val="continue"/>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625,980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5" w:lineRule="exact"/>
        <w:rPr>
          <w:sz w:val="20"/>
          <w:szCs w:val="20"/>
          <w:color w:val="auto"/>
        </w:rPr>
      </w:pPr>
    </w:p>
    <w:p>
      <w:pPr>
        <w:ind w:left="5540" w:right="4960" w:hanging="5532"/>
        <w:spacing w:after="0" w:line="657" w:lineRule="auto"/>
        <w:tabs>
          <w:tab w:leader="none" w:pos="338"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entire investment contribution is provided as collateral. (See Notes 10 and 37)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-218440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t>HANSOL INTICUBE CO.,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7. Trade and other receivables</w:t>
            </w:r>
          </w:p>
        </w:tc>
        <w:tc>
          <w:tcPr>
            <w:tcW w:w="16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7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  Details of trade and other receivables</w:t>
            </w:r>
          </w:p>
        </w:tc>
        <w:tc>
          <w:tcPr>
            <w:tcW w:w="16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Details of trade and other receivables as of December 31, 2025 are as follows:</w:t>
            </w:r>
          </w:p>
        </w:tc>
        <w:tc>
          <w:tcPr>
            <w:tcW w:w="16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70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54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8"/>
        </w:trPr>
        <w:tc>
          <w:tcPr>
            <w:tcW w:w="70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4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20"/>
                <w:szCs w:val="20"/>
                <w:color w:val="auto"/>
              </w:rPr>
            </w:pPr>
          </w:p>
        </w:tc>
      </w:tr>
      <w:tr>
        <w:trPr>
          <w:trHeight w:val="210"/>
        </w:trPr>
        <w:tc>
          <w:tcPr>
            <w:tcW w:w="70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320" w:type="dxa"/>
            <w:vAlign w:val="bottom"/>
            <w:tcBorders>
              <w:bottom w:val="single" w:sz="8" w:color="auto"/>
            </w:tcBorders>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Non-Current</w:t>
            </w:r>
          </w:p>
        </w:tc>
        <w:tc>
          <w:tcPr>
            <w:tcW w:w="100" w:type="dxa"/>
            <w:vAlign w:val="bottom"/>
          </w:tcPr>
          <w:p>
            <w:pPr>
              <w:spacing w:after="0"/>
              <w:rPr>
                <w:sz w:val="18"/>
                <w:szCs w:val="18"/>
                <w:color w:val="auto"/>
              </w:rPr>
            </w:pPr>
          </w:p>
        </w:tc>
      </w:tr>
      <w:tr>
        <w:trPr>
          <w:trHeight w:val="209"/>
        </w:trPr>
        <w:tc>
          <w:tcPr>
            <w:tcW w:w="70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44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 thousands of Korean won)</w:t>
            </w:r>
          </w:p>
        </w:tc>
        <w:tc>
          <w:tcPr>
            <w:tcW w:w="100" w:type="dxa"/>
            <w:vAlign w:val="bottom"/>
          </w:tcPr>
          <w:p>
            <w:pPr>
              <w:spacing w:after="0"/>
              <w:rPr>
                <w:sz w:val="18"/>
                <w:szCs w:val="18"/>
                <w:color w:val="auto"/>
              </w:rPr>
            </w:pPr>
          </w:p>
        </w:tc>
      </w:tr>
      <w:tr>
        <w:trPr>
          <w:trHeight w:val="216"/>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receivables</w:t>
            </w:r>
          </w:p>
        </w:tc>
        <w:tc>
          <w:tcPr>
            <w:tcW w:w="1680" w:type="dxa"/>
            <w:vAlign w:val="bottom"/>
            <w:shd w:val="clear" w:color="auto" w:fill="CCEEFF"/>
          </w:tcPr>
          <w:p>
            <w:pPr>
              <w:ind w:left="140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11,323,305</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Less: Allowance for doubtful accounts</w:t>
            </w:r>
          </w:p>
        </w:tc>
        <w:tc>
          <w:tcPr>
            <w:tcW w:w="168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(33,000)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7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Subtotal: Trade receivables</w:t>
            </w:r>
          </w:p>
        </w:tc>
        <w:tc>
          <w:tcPr>
            <w:tcW w:w="16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11,290,305</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09"/>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Other receivables</w:t>
            </w:r>
          </w:p>
        </w:tc>
        <w:tc>
          <w:tcPr>
            <w:tcW w:w="16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3,634</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income</w:t>
            </w:r>
          </w:p>
        </w:tc>
        <w:tc>
          <w:tcPr>
            <w:tcW w:w="16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305</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Guarantee deposits</w:t>
            </w:r>
          </w:p>
        </w:tc>
        <w:tc>
          <w:tcPr>
            <w:tcW w:w="168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627,587</w:t>
            </w:r>
          </w:p>
        </w:tc>
      </w:tr>
      <w:tr>
        <w:trPr>
          <w:trHeight w:val="216"/>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Present value discount</w:t>
            </w:r>
          </w:p>
        </w:tc>
        <w:tc>
          <w:tcPr>
            <w:tcW w:w="16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(31,994)</w:t>
            </w:r>
          </w:p>
        </w:tc>
      </w:tr>
      <w:tr>
        <w:trPr>
          <w:trHeight w:val="209"/>
        </w:trPr>
        <w:tc>
          <w:tcPr>
            <w:tcW w:w="7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Subtotal: Guarantee deposits</w:t>
            </w:r>
          </w:p>
        </w:tc>
        <w:tc>
          <w:tcPr>
            <w:tcW w:w="1680" w:type="dxa"/>
            <w:vAlign w:val="bottom"/>
            <w:tcBorders>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595,593</w:t>
            </w:r>
          </w:p>
        </w:tc>
        <w:tc>
          <w:tcPr>
            <w:tcW w:w="100" w:type="dxa"/>
            <w:vAlign w:val="bottom"/>
            <w:tcBorders>
              <w:bottom w:val="single" w:sz="8" w:color="CCEEFF"/>
            </w:tcBorders>
          </w:tcPr>
          <w:p>
            <w:pPr>
              <w:spacing w:after="0"/>
              <w:rPr>
                <w:sz w:val="18"/>
                <w:szCs w:val="18"/>
                <w:color w:val="auto"/>
              </w:rPr>
            </w:pPr>
          </w:p>
        </w:tc>
      </w:tr>
      <w:tr>
        <w:trPr>
          <w:trHeight w:val="210"/>
        </w:trPr>
        <w:tc>
          <w:tcPr>
            <w:tcW w:w="7020" w:type="dxa"/>
            <w:vAlign w:val="bottom"/>
            <w:tcBorders>
              <w:bottom w:val="single" w:sz="8" w:color="CCEEFF"/>
            </w:tcBorders>
            <w:shd w:val="clear" w:color="auto" w:fill="CCEEFF"/>
          </w:tcPr>
          <w:p>
            <w:pPr>
              <w:ind w:left="3980"/>
              <w:spacing w:after="0"/>
              <w:rPr>
                <w:sz w:val="20"/>
                <w:szCs w:val="20"/>
                <w:color w:val="auto"/>
              </w:rPr>
            </w:pPr>
            <w:r>
              <w:rPr>
                <w:rFonts w:ascii="Times New Roman" w:cs="Times New Roman" w:eastAsia="Times New Roman" w:hAnsi="Times New Roman"/>
                <w:sz w:val="18"/>
                <w:szCs w:val="18"/>
                <w:color w:val="auto"/>
              </w:rPr>
              <w:t>Total</w:t>
            </w:r>
          </w:p>
        </w:tc>
        <w:tc>
          <w:tcPr>
            <w:tcW w:w="1680" w:type="dxa"/>
            <w:vAlign w:val="bottom"/>
            <w:tcBorders>
              <w:bottom w:val="single" w:sz="8" w:color="CCEEFF"/>
            </w:tcBorders>
            <w:shd w:val="clear" w:color="auto" w:fill="CCEEFF"/>
          </w:tcPr>
          <w:p>
            <w:pPr>
              <w:ind w:left="140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11,294,244</w:t>
            </w:r>
          </w:p>
        </w:tc>
        <w:tc>
          <w:tcPr>
            <w:tcW w:w="2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595,593</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
        </w:trPr>
        <w:tc>
          <w:tcPr>
            <w:tcW w:w="70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B.</w:t>
      </w:r>
      <w:r>
        <w:rPr>
          <w:sz w:val="20"/>
          <w:szCs w:val="20"/>
          <w:color w:val="auto"/>
        </w:rPr>
        <w:tab/>
      </w:r>
      <w:r>
        <w:rPr>
          <w:rFonts w:ascii="Times New Roman" w:cs="Times New Roman" w:eastAsia="Times New Roman" w:hAnsi="Times New Roman"/>
          <w:sz w:val="17"/>
          <w:szCs w:val="17"/>
          <w:b w:val="1"/>
          <w:bCs w:val="1"/>
          <w:color w:val="auto"/>
        </w:rPr>
        <w:t>Credit risk and allowance for doubtful accounts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above trade receivables and other receivables are measured at amortized cost.</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average credit period for sales is 90 days. However, receivables that are expected to be collected after 90 days due to contractual terms are not considered past due. The Group applies the simplified approach to recognize lifetime expected credit losses for trade receivables. Expected credit losses are measured by grouping receivables based on shared credit risk characteristics and days past due, using historical credit loss experience.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2025, receivables from LG Uplus Corp. amount to Korean won 4,705,651 thousand, representing 41.56% of total trade receivables.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customers accounting for more than 5% of total trade receivables include KT Corp. and SK Broadband Co., Ltd.</w:t>
      </w:r>
    </w:p>
    <w:p>
      <w:pPr>
        <w:spacing w:after="0" w:line="207" w:lineRule="exact"/>
        <w:rPr>
          <w:sz w:val="20"/>
          <w:szCs w:val="20"/>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past-due but not impaired trade receivables as of December 31, 2025.</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aging analysis of impaired trade receivables and other receivables as of December 31, 2025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8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Over one year</w:t>
            </w:r>
          </w:p>
        </w:tc>
      </w:tr>
      <w:tr>
        <w:trPr>
          <w:trHeight w:val="216"/>
        </w:trPr>
        <w:tc>
          <w:tcPr>
            <w:tcW w:w="738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8"/>
        </w:trPr>
        <w:tc>
          <w:tcPr>
            <w:tcW w:w="738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20"/>
                <w:szCs w:val="20"/>
                <w:color w:val="auto"/>
              </w:rPr>
            </w:pPr>
          </w:p>
        </w:tc>
      </w:tr>
      <w:tr>
        <w:trPr>
          <w:trHeight w:val="187"/>
        </w:trPr>
        <w:tc>
          <w:tcPr>
            <w:tcW w:w="738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112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8"/>
              </w:rPr>
              <w:t>(In thousands</w:t>
            </w:r>
          </w:p>
        </w:tc>
        <w:tc>
          <w:tcPr>
            <w:tcW w:w="100" w:type="dxa"/>
            <w:vAlign w:val="bottom"/>
          </w:tcPr>
          <w:p>
            <w:pPr>
              <w:spacing w:after="0"/>
              <w:rPr>
                <w:sz w:val="16"/>
                <w:szCs w:val="16"/>
                <w:color w:val="auto"/>
              </w:rPr>
            </w:pPr>
          </w:p>
        </w:tc>
      </w:tr>
      <w:tr>
        <w:trPr>
          <w:trHeight w:val="216"/>
        </w:trPr>
        <w:tc>
          <w:tcPr>
            <w:tcW w:w="738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of Korean</w:t>
            </w:r>
          </w:p>
        </w:tc>
      </w:tr>
      <w:tr>
        <w:trPr>
          <w:trHeight w:val="238"/>
        </w:trPr>
        <w:tc>
          <w:tcPr>
            <w:tcW w:w="738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won)</w:t>
            </w:r>
          </w:p>
        </w:tc>
      </w:tr>
      <w:tr>
        <w:trPr>
          <w:trHeight w:val="216"/>
        </w:trPr>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receivables</w:t>
            </w:r>
          </w:p>
        </w:tc>
        <w:tc>
          <w:tcPr>
            <w:tcW w:w="2640" w:type="dxa"/>
            <w:vAlign w:val="bottom"/>
            <w:shd w:val="clear" w:color="auto" w:fill="CCEEFF"/>
          </w:tcPr>
          <w:p>
            <w:pPr>
              <w:ind w:left="236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33,000</w:t>
            </w:r>
          </w:p>
        </w:tc>
      </w:tr>
      <w:tr>
        <w:trPr>
          <w:trHeight w:val="216"/>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Less: Allowance for doubtful accounts</w:t>
            </w:r>
          </w:p>
        </w:tc>
        <w:tc>
          <w:tcPr>
            <w:tcW w:w="264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(33,000)</w:t>
            </w:r>
          </w:p>
        </w:tc>
      </w:tr>
      <w:tr>
        <w:trPr>
          <w:trHeight w:val="210"/>
        </w:trPr>
        <w:tc>
          <w:tcPr>
            <w:tcW w:w="7380" w:type="dxa"/>
            <w:vAlign w:val="bottom"/>
            <w:tcBorders>
              <w:top w:val="single" w:sz="8" w:color="CCEEFF"/>
              <w:bottom w:val="single" w:sz="8" w:color="CCEEFF"/>
            </w:tcBorders>
            <w:shd w:val="clear" w:color="auto" w:fill="CCEEFF"/>
          </w:tcPr>
          <w:p>
            <w:pPr>
              <w:ind w:left="4640"/>
              <w:spacing w:after="0"/>
              <w:rPr>
                <w:sz w:val="20"/>
                <w:szCs w:val="20"/>
                <w:color w:val="auto"/>
              </w:rPr>
            </w:pPr>
            <w:r>
              <w:rPr>
                <w:rFonts w:ascii="Times New Roman" w:cs="Times New Roman" w:eastAsia="Times New Roman" w:hAnsi="Times New Roman"/>
                <w:sz w:val="18"/>
                <w:szCs w:val="18"/>
                <w:color w:val="auto"/>
              </w:rPr>
              <w:t>Total</w:t>
            </w:r>
          </w:p>
        </w:tc>
        <w:tc>
          <w:tcPr>
            <w:tcW w:w="2640" w:type="dxa"/>
            <w:vAlign w:val="bottom"/>
            <w:tcBorders>
              <w:top w:val="single" w:sz="8" w:color="CCEEFF"/>
              <w:bottom w:val="single" w:sz="8" w:color="CCEEFF"/>
            </w:tcBorders>
            <w:shd w:val="clear" w:color="auto" w:fill="CCEEFF"/>
          </w:tcPr>
          <w:p>
            <w:pPr>
              <w:ind w:left="236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73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right="20" w:hanging="328"/>
        <w:spacing w:after="0" w:line="282" w:lineRule="auto"/>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were no changes in the allowance for doubtful accounts for trade receivables and other receivables during the year ended December 31, 2025 (Korean won 33,000 thousand).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assessing the recoverability of trade receivables, the Group considers changes in credit quality from the date of initial recognition to the end of the reporting period. As the Group has a large number of customers with no significant interrelationships, concentration of credit risk is limited. The recognized impairment loss represents the difference between the carrying amount and the recoverable amount of receivables deemed unlikely to be collected, based on past experience and credit evaluations.</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color w:val="auto"/>
        </w:rPr>
        <w:t>HANSOL INTICUBE CO.,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8. Inventories</w:t>
            </w:r>
          </w:p>
        </w:tc>
        <w:tc>
          <w:tcPr>
            <w:tcW w:w="15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Details of inventories as of December 31, 2025 are as follows:</w:t>
            </w:r>
          </w:p>
        </w:tc>
        <w:tc>
          <w:tcPr>
            <w:tcW w:w="15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5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December 31, 2025</w:t>
            </w:r>
          </w:p>
        </w:tc>
        <w:tc>
          <w:tcPr>
            <w:tcW w:w="1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87"/>
        </w:trPr>
        <w:tc>
          <w:tcPr>
            <w:tcW w:w="58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gridSpan w:val="2"/>
          </w:tcPr>
          <w:p>
            <w:pPr>
              <w:jc w:val="center"/>
              <w:ind w:right="200"/>
              <w:spacing w:after="0" w:line="188" w:lineRule="exact"/>
              <w:rPr>
                <w:sz w:val="20"/>
                <w:szCs w:val="20"/>
                <w:color w:val="auto"/>
              </w:rPr>
            </w:pPr>
            <w:r>
              <w:rPr>
                <w:rFonts w:ascii="Times New Roman" w:cs="Times New Roman" w:eastAsia="Times New Roman" w:hAnsi="Times New Roman"/>
                <w:sz w:val="18"/>
                <w:szCs w:val="18"/>
                <w:b w:val="1"/>
                <w:bCs w:val="1"/>
                <w:color w:val="auto"/>
              </w:rPr>
              <w:t>Allowance for</w:t>
            </w: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58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valuation</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Carrying</w:t>
            </w:r>
          </w:p>
        </w:tc>
      </w:tr>
      <w:tr>
        <w:trPr>
          <w:trHeight w:val="238"/>
        </w:trPr>
        <w:tc>
          <w:tcPr>
            <w:tcW w:w="58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1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30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8"/>
              </w:rPr>
              <w:t>(*1), (*2)</w:t>
            </w:r>
          </w:p>
        </w:tc>
        <w:tc>
          <w:tcPr>
            <w:tcW w:w="220" w:type="dxa"/>
            <w:vAlign w:val="bottom"/>
          </w:tcPr>
          <w:p>
            <w:pPr>
              <w:spacing w:after="0"/>
              <w:rPr>
                <w:sz w:val="20"/>
                <w:szCs w:val="20"/>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09"/>
        </w:trPr>
        <w:tc>
          <w:tcPr>
            <w:tcW w:w="58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760" w:type="dxa"/>
            <w:vAlign w:val="bottom"/>
            <w:tcBorders>
              <w:top w:val="single" w:sz="8" w:color="auto"/>
            </w:tcBorders>
            <w:gridSpan w:val="6"/>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 thousands of Korean won)</w:t>
            </w:r>
          </w:p>
        </w:tc>
        <w:tc>
          <w:tcPr>
            <w:tcW w:w="100" w:type="dxa"/>
            <w:vAlign w:val="bottom"/>
          </w:tcPr>
          <w:p>
            <w:pPr>
              <w:spacing w:after="0"/>
              <w:rPr>
                <w:sz w:val="18"/>
                <w:szCs w:val="18"/>
                <w:color w:val="auto"/>
              </w:rPr>
            </w:pPr>
          </w:p>
        </w:tc>
      </w:tr>
      <w:tr>
        <w:trPr>
          <w:trHeight w:val="216"/>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158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517,618</w:t>
            </w:r>
          </w:p>
        </w:tc>
        <w:tc>
          <w:tcPr>
            <w:tcW w:w="15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(21,964)</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495,654</w:t>
            </w:r>
          </w:p>
        </w:tc>
      </w:tr>
      <w:tr>
        <w:trPr>
          <w:trHeight w:val="216"/>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Merchandise</w:t>
            </w:r>
          </w:p>
        </w:tc>
        <w:tc>
          <w:tcPr>
            <w:tcW w:w="158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322,796</w:t>
            </w:r>
          </w:p>
        </w:tc>
        <w:tc>
          <w:tcPr>
            <w:tcW w:w="15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322,796</w:t>
            </w:r>
          </w:p>
        </w:tc>
      </w:tr>
      <w:tr>
        <w:trPr>
          <w:trHeight w:val="216"/>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15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82,794</w:t>
            </w:r>
          </w:p>
        </w:tc>
        <w:tc>
          <w:tcPr>
            <w:tcW w:w="15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82,794</w:t>
            </w:r>
          </w:p>
        </w:tc>
      </w:tr>
      <w:tr>
        <w:trPr>
          <w:trHeight w:val="216"/>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Goods in transit</w:t>
            </w:r>
          </w:p>
        </w:tc>
        <w:tc>
          <w:tcPr>
            <w:tcW w:w="158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5800" w:type="dxa"/>
            <w:vAlign w:val="bottom"/>
            <w:tcBorders>
              <w:top w:val="single" w:sz="8" w:color="CCEEFF"/>
              <w:bottom w:val="single" w:sz="8" w:color="CCEEFF"/>
            </w:tcBorders>
            <w:shd w:val="clear" w:color="auto" w:fill="CCEEFF"/>
          </w:tcPr>
          <w:p>
            <w:pPr>
              <w:ind w:left="3380"/>
              <w:spacing w:after="0"/>
              <w:rPr>
                <w:sz w:val="20"/>
                <w:szCs w:val="20"/>
                <w:color w:val="auto"/>
              </w:rPr>
            </w:pPr>
            <w:r>
              <w:rPr>
                <w:rFonts w:ascii="Times New Roman" w:cs="Times New Roman" w:eastAsia="Times New Roman" w:hAnsi="Times New Roman"/>
                <w:sz w:val="18"/>
                <w:szCs w:val="18"/>
                <w:color w:val="auto"/>
              </w:rPr>
              <w:t>Total</w:t>
            </w:r>
          </w:p>
        </w:tc>
        <w:tc>
          <w:tcPr>
            <w:tcW w:w="1580" w:type="dxa"/>
            <w:vAlign w:val="bottom"/>
            <w:tcBorders>
              <w:top w:val="single" w:sz="8" w:color="CCEEFF"/>
              <w:bottom w:val="single" w:sz="8" w:color="CCEEFF"/>
            </w:tcBorders>
            <w:shd w:val="clear" w:color="auto" w:fill="CCEEFF"/>
          </w:tcPr>
          <w:p>
            <w:pPr>
              <w:ind w:left="130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923,208</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(21,964)</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901,244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58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5" w:lineRule="exact"/>
        <w:rPr>
          <w:sz w:val="20"/>
          <w:szCs w:val="20"/>
          <w:color w:val="auto"/>
        </w:rPr>
      </w:pPr>
    </w:p>
    <w:p>
      <w:pPr>
        <w:jc w:val="both"/>
        <w:ind w:left="460" w:hanging="459"/>
        <w:spacing w:after="0" w:line="261" w:lineRule="auto"/>
        <w:tabs>
          <w:tab w:leader="none" w:pos="440" w:val="left"/>
        </w:tabs>
        <w:rPr>
          <w:sz w:val="20"/>
          <w:szCs w:val="20"/>
          <w:color w:val="auto"/>
        </w:rPr>
      </w:pPr>
      <w:r>
        <w:rPr>
          <w:rFonts w:ascii="Times New Roman" w:cs="Times New Roman" w:eastAsia="Times New Roman" w:hAnsi="Times New Roman"/>
          <w:sz w:val="18"/>
          <w:szCs w:val="18"/>
          <w:color w:val="auto"/>
        </w:rPr>
        <w:t>(*1)</w:t>
        <w:tab/>
        <w:t>For the year ended December 31, 2025, the Group disposed of inventories amounting to Korean won 942,718 thousand for which full impairment losses had been recognized in prior periods.</w:t>
      </w: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(*2)</w:t>
        <w:tab/>
        <w:t>For the year ended December 31, 2025, the Group recognized a reversal of inventory write-downs to net realizable value amounting to Korean won</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1,499 thousand, which is included in cost of sales.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9. Other Assets</w:t>
            </w:r>
          </w:p>
        </w:tc>
        <w:tc>
          <w:tcPr>
            <w:tcW w:w="2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Details of other assets as of December 31, 2025 are as follows:</w:t>
            </w:r>
          </w:p>
        </w:tc>
        <w:tc>
          <w:tcPr>
            <w:tcW w:w="2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64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54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8"/>
        </w:trPr>
        <w:tc>
          <w:tcPr>
            <w:tcW w:w="648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24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20"/>
                <w:szCs w:val="20"/>
                <w:color w:val="auto"/>
              </w:rPr>
            </w:pPr>
          </w:p>
        </w:tc>
      </w:tr>
      <w:tr>
        <w:trPr>
          <w:trHeight w:val="210"/>
        </w:trPr>
        <w:tc>
          <w:tcPr>
            <w:tcW w:w="64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320" w:type="dxa"/>
            <w:vAlign w:val="bottom"/>
            <w:tcBorders>
              <w:bottom w:val="single" w:sz="8" w:color="auto"/>
            </w:tcBorders>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Non-Current</w:t>
            </w:r>
          </w:p>
        </w:tc>
        <w:tc>
          <w:tcPr>
            <w:tcW w:w="100" w:type="dxa"/>
            <w:vAlign w:val="bottom"/>
          </w:tcPr>
          <w:p>
            <w:pPr>
              <w:spacing w:after="0"/>
              <w:rPr>
                <w:sz w:val="18"/>
                <w:szCs w:val="18"/>
                <w:color w:val="auto"/>
              </w:rPr>
            </w:pPr>
          </w:p>
        </w:tc>
      </w:tr>
      <w:tr>
        <w:trPr>
          <w:trHeight w:val="210"/>
        </w:trPr>
        <w:tc>
          <w:tcPr>
            <w:tcW w:w="64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44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 thousands of Korean won)</w:t>
            </w:r>
          </w:p>
        </w:tc>
        <w:tc>
          <w:tcPr>
            <w:tcW w:w="100" w:type="dxa"/>
            <w:vAlign w:val="bottom"/>
          </w:tcPr>
          <w:p>
            <w:pPr>
              <w:spacing w:after="0"/>
              <w:rPr>
                <w:sz w:val="18"/>
                <w:szCs w:val="18"/>
                <w:color w:val="auto"/>
              </w:rPr>
            </w:pPr>
          </w:p>
        </w:tc>
      </w:tr>
      <w:tr>
        <w:trPr>
          <w:trHeight w:val="216"/>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Prepayments</w:t>
            </w:r>
          </w:p>
        </w:tc>
        <w:tc>
          <w:tcPr>
            <w:tcW w:w="2220" w:type="dxa"/>
            <w:vAlign w:val="bottom"/>
            <w:shd w:val="clear" w:color="auto" w:fill="CCEEFF"/>
          </w:tcPr>
          <w:p>
            <w:pPr>
              <w:ind w:left="19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77,439</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 (*)</w:t>
            </w:r>
          </w:p>
        </w:tc>
        <w:tc>
          <w:tcPr>
            <w:tcW w:w="22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4,279,744</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369,646</w:t>
            </w:r>
          </w:p>
        </w:tc>
      </w:tr>
      <w:tr>
        <w:trPr>
          <w:trHeight w:val="209"/>
        </w:trPr>
        <w:tc>
          <w:tcPr>
            <w:tcW w:w="6480" w:type="dxa"/>
            <w:vAlign w:val="bottom"/>
            <w:tcBorders>
              <w:top w:val="single" w:sz="8" w:color="CCEEFF"/>
              <w:bottom w:val="single" w:sz="8" w:color="CCEEFF"/>
            </w:tcBorders>
            <w:shd w:val="clear" w:color="auto" w:fill="CCEEFF"/>
          </w:tcPr>
          <w:p>
            <w:pPr>
              <w:ind w:left="4060"/>
              <w:spacing w:after="0"/>
              <w:rPr>
                <w:sz w:val="20"/>
                <w:szCs w:val="20"/>
                <w:color w:val="auto"/>
              </w:rPr>
            </w:pPr>
            <w:r>
              <w:rPr>
                <w:rFonts w:ascii="Times New Roman" w:cs="Times New Roman" w:eastAsia="Times New Roman" w:hAnsi="Times New Roman"/>
                <w:sz w:val="18"/>
                <w:szCs w:val="18"/>
                <w:color w:val="auto"/>
              </w:rPr>
              <w:t>Total</w:t>
            </w:r>
          </w:p>
        </w:tc>
        <w:tc>
          <w:tcPr>
            <w:tcW w:w="2220" w:type="dxa"/>
            <w:vAlign w:val="bottom"/>
            <w:tcBorders>
              <w:top w:val="single" w:sz="8" w:color="CCEEFF"/>
              <w:bottom w:val="single" w:sz="8" w:color="CCEEFF"/>
            </w:tcBorders>
            <w:shd w:val="clear" w:color="auto" w:fill="CCEEFF"/>
          </w:tcPr>
          <w:p>
            <w:pPr>
              <w:ind w:left="194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4,357,183</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369,646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64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18" w:lineRule="exact"/>
        <w:rPr>
          <w:sz w:val="20"/>
          <w:szCs w:val="20"/>
          <w:color w:val="auto"/>
        </w:rPr>
      </w:pPr>
    </w:p>
    <w:p>
      <w:pPr>
        <w:ind w:left="5540" w:right="4920" w:hanging="5532"/>
        <w:spacing w:after="0" w:line="657" w:lineRule="auto"/>
        <w:tabs>
          <w:tab w:leader="none" w:pos="338"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Prepaid expenses include costs to fulfill contracts related to projects. (see Note 15).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-227330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t>HANSOL INTICUBE CO.,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ind w:right="7100" w:firstLine="8"/>
        <w:spacing w:after="0" w:line="503" w:lineRule="auto"/>
        <w:tabs>
          <w:tab w:leader="none" w:pos="270"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assets at fair value through profit or loss A. Financial assets at FVTPL</w:t>
      </w:r>
    </w:p>
    <w:p>
      <w:pPr>
        <w:spacing w:after="0"/>
        <w:rPr>
          <w:sz w:val="20"/>
          <w:szCs w:val="20"/>
          <w:color w:val="auto"/>
        </w:rPr>
      </w:pPr>
      <w:r>
        <w:rPr>
          <w:rFonts w:ascii="Times New Roman" w:cs="Times New Roman" w:eastAsia="Times New Roman" w:hAnsi="Times New Roman"/>
          <w:sz w:val="18"/>
          <w:szCs w:val="18"/>
          <w:color w:val="auto"/>
        </w:rPr>
        <w:t>Details of financial assets measured at fair value through profit or loss as of December 31, 2025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2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8"/>
        </w:trPr>
        <w:tc>
          <w:tcPr>
            <w:tcW w:w="582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20"/>
                <w:szCs w:val="20"/>
                <w:color w:val="auto"/>
              </w:rPr>
            </w:pPr>
          </w:p>
        </w:tc>
      </w:tr>
      <w:tr>
        <w:trPr>
          <w:trHeight w:val="187"/>
        </w:trPr>
        <w:tc>
          <w:tcPr>
            <w:tcW w:w="5820" w:type="dxa"/>
            <w:vAlign w:val="bottom"/>
          </w:tcPr>
          <w:p>
            <w:pPr>
              <w:spacing w:after="0"/>
              <w:rPr>
                <w:sz w:val="16"/>
                <w:szCs w:val="16"/>
                <w:color w:val="auto"/>
              </w:rPr>
            </w:pPr>
          </w:p>
        </w:tc>
        <w:tc>
          <w:tcPr>
            <w:tcW w:w="4200" w:type="dxa"/>
            <w:vAlign w:val="bottom"/>
          </w:tcPr>
          <w:p>
            <w:pPr>
              <w:spacing w:after="0"/>
              <w:rPr>
                <w:sz w:val="16"/>
                <w:szCs w:val="16"/>
                <w:color w:val="auto"/>
              </w:rPr>
            </w:pPr>
          </w:p>
        </w:tc>
        <w:tc>
          <w:tcPr>
            <w:tcW w:w="112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8"/>
              </w:rPr>
              <w:t>(In thousands</w:t>
            </w:r>
          </w:p>
        </w:tc>
        <w:tc>
          <w:tcPr>
            <w:tcW w:w="100" w:type="dxa"/>
            <w:vAlign w:val="bottom"/>
          </w:tcPr>
          <w:p>
            <w:pPr>
              <w:spacing w:after="0"/>
              <w:rPr>
                <w:sz w:val="16"/>
                <w:szCs w:val="16"/>
                <w:color w:val="auto"/>
              </w:rPr>
            </w:pPr>
          </w:p>
        </w:tc>
      </w:tr>
      <w:tr>
        <w:trPr>
          <w:trHeight w:val="216"/>
        </w:trPr>
        <w:tc>
          <w:tcPr>
            <w:tcW w:w="582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of Korean</w:t>
            </w:r>
          </w:p>
        </w:tc>
      </w:tr>
      <w:tr>
        <w:trPr>
          <w:trHeight w:val="238"/>
        </w:trPr>
        <w:tc>
          <w:tcPr>
            <w:tcW w:w="582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won)</w:t>
            </w:r>
          </w:p>
        </w:tc>
      </w:tr>
      <w:tr>
        <w:trPr>
          <w:trHeight w:val="216"/>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Membership contributions</w:t>
            </w:r>
          </w:p>
        </w:tc>
        <w:tc>
          <w:tcPr>
            <w:tcW w:w="4200" w:type="dxa"/>
            <w:vAlign w:val="bottom"/>
            <w:shd w:val="clear" w:color="auto" w:fill="CCEEFF"/>
          </w:tcPr>
          <w:p>
            <w:pPr>
              <w:ind w:left="39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1,005,980</w:t>
            </w:r>
          </w:p>
        </w:tc>
      </w:tr>
    </w:tbl>
    <w:p>
      <w:pPr>
        <w:spacing w:after="0" w:line="194"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B.</w:t>
      </w:r>
      <w:r>
        <w:rPr>
          <w:sz w:val="20"/>
          <w:szCs w:val="20"/>
          <w:color w:val="auto"/>
        </w:rPr>
        <w:tab/>
      </w:r>
      <w:r>
        <w:rPr>
          <w:rFonts w:ascii="Times New Roman" w:cs="Times New Roman" w:eastAsia="Times New Roman" w:hAnsi="Times New Roman"/>
          <w:sz w:val="17"/>
          <w:szCs w:val="17"/>
          <w:b w:val="1"/>
          <w:bCs w:val="1"/>
          <w:color w:val="auto"/>
        </w:rPr>
        <w:t>Details of financial assets at FVTPL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Details of financial assets measured at fair value through profit or loss as of December 31, 2025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00" w:type="dxa"/>
            <w:vAlign w:val="bottom"/>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7200" w:type="dxa"/>
            <w:vAlign w:val="bottom"/>
          </w:tcPr>
          <w:p>
            <w:pPr>
              <w:spacing w:after="0"/>
              <w:rPr>
                <w:sz w:val="16"/>
                <w:szCs w:val="16"/>
                <w:color w:val="auto"/>
              </w:rPr>
            </w:pPr>
          </w:p>
        </w:tc>
        <w:tc>
          <w:tcPr>
            <w:tcW w:w="1160" w:type="dxa"/>
            <w:vAlign w:val="bottom"/>
          </w:tcPr>
          <w:p>
            <w:pPr>
              <w:jc w:val="right"/>
              <w:ind w:right="90"/>
              <w:spacing w:after="0" w:line="188" w:lineRule="exact"/>
              <w:rPr>
                <w:sz w:val="20"/>
                <w:szCs w:val="20"/>
                <w:color w:val="auto"/>
              </w:rPr>
            </w:pPr>
            <w:r>
              <w:rPr>
                <w:rFonts w:ascii="Times New Roman" w:cs="Times New Roman" w:eastAsia="Times New Roman" w:hAnsi="Times New Roman"/>
                <w:sz w:val="18"/>
                <w:szCs w:val="18"/>
                <w:b w:val="1"/>
                <w:bCs w:val="1"/>
                <w:color w:val="auto"/>
              </w:rPr>
              <w:t>Ownership</w:t>
            </w:r>
          </w:p>
        </w:tc>
        <w:tc>
          <w:tcPr>
            <w:tcW w:w="340" w:type="dxa"/>
            <w:vAlign w:val="bottom"/>
          </w:tcPr>
          <w:p>
            <w:pPr>
              <w:spacing w:after="0"/>
              <w:rPr>
                <w:sz w:val="16"/>
                <w:szCs w:val="16"/>
                <w:color w:val="auto"/>
              </w:rPr>
            </w:pPr>
          </w:p>
        </w:tc>
        <w:tc>
          <w:tcPr>
            <w:tcW w:w="1320" w:type="dxa"/>
            <w:vAlign w:val="bottom"/>
            <w:gridSpan w:val="2"/>
          </w:tcPr>
          <w:p>
            <w:pPr>
              <w:jc w:val="right"/>
              <w:ind w:right="320"/>
              <w:spacing w:after="0" w:line="188" w:lineRule="exact"/>
              <w:rPr>
                <w:sz w:val="20"/>
                <w:szCs w:val="20"/>
                <w:color w:val="auto"/>
              </w:rPr>
            </w:pPr>
            <w:r>
              <w:rPr>
                <w:rFonts w:ascii="Times New Roman" w:cs="Times New Roman" w:eastAsia="Times New Roman" w:hAnsi="Times New Roman"/>
                <w:sz w:val="18"/>
                <w:szCs w:val="18"/>
                <w:b w:val="1"/>
                <w:bCs w:val="1"/>
                <w:color w:val="auto"/>
              </w:rPr>
              <w:t>Acquisition</w:t>
            </w:r>
          </w:p>
        </w:tc>
        <w:tc>
          <w:tcPr>
            <w:tcW w:w="112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Carrying</w:t>
            </w:r>
          </w:p>
        </w:tc>
        <w:tc>
          <w:tcPr>
            <w:tcW w:w="100" w:type="dxa"/>
            <w:vAlign w:val="bottom"/>
          </w:tcPr>
          <w:p>
            <w:pPr>
              <w:spacing w:after="0"/>
              <w:rPr>
                <w:sz w:val="16"/>
                <w:szCs w:val="16"/>
                <w:color w:val="auto"/>
              </w:rPr>
            </w:pPr>
          </w:p>
        </w:tc>
      </w:tr>
      <w:tr>
        <w:trPr>
          <w:trHeight w:val="238"/>
        </w:trPr>
        <w:tc>
          <w:tcPr>
            <w:tcW w:w="7200" w:type="dxa"/>
            <w:vAlign w:val="bottom"/>
          </w:tcPr>
          <w:p>
            <w:pPr>
              <w:spacing w:after="0"/>
              <w:rPr>
                <w:sz w:val="20"/>
                <w:szCs w:val="20"/>
                <w:color w:val="auto"/>
              </w:rPr>
            </w:pPr>
          </w:p>
        </w:tc>
        <w:tc>
          <w:tcPr>
            <w:tcW w:w="116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Pr>
          <w:p>
            <w:pPr>
              <w:spacing w:after="0"/>
              <w:rPr>
                <w:sz w:val="20"/>
                <w:szCs w:val="20"/>
                <w:color w:val="auto"/>
              </w:rPr>
            </w:pPr>
          </w:p>
        </w:tc>
        <w:tc>
          <w:tcPr>
            <w:tcW w:w="132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09"/>
        </w:trPr>
        <w:tc>
          <w:tcPr>
            <w:tcW w:w="7200" w:type="dxa"/>
            <w:vAlign w:val="bottom"/>
          </w:tcPr>
          <w:p>
            <w:pPr>
              <w:spacing w:after="0"/>
              <w:rPr>
                <w:sz w:val="18"/>
                <w:szCs w:val="18"/>
                <w:color w:val="auto"/>
              </w:rPr>
            </w:pPr>
          </w:p>
        </w:tc>
        <w:tc>
          <w:tcPr>
            <w:tcW w:w="3940" w:type="dxa"/>
            <w:vAlign w:val="bottom"/>
            <w:tcBorders>
              <w:top w:val="single" w:sz="8" w:color="auto"/>
            </w:tcBorders>
            <w:gridSpan w:val="5"/>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(In thousands of Korean won)</w:t>
            </w:r>
          </w:p>
        </w:tc>
        <w:tc>
          <w:tcPr>
            <w:tcW w:w="100" w:type="dxa"/>
            <w:vAlign w:val="bottom"/>
          </w:tcPr>
          <w:p>
            <w:pPr>
              <w:spacing w:after="0"/>
              <w:rPr>
                <w:sz w:val="18"/>
                <w:szCs w:val="18"/>
                <w:color w:val="auto"/>
              </w:rPr>
            </w:pPr>
          </w:p>
        </w:tc>
      </w:tr>
      <w:tr>
        <w:trPr>
          <w:trHeight w:val="216"/>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Korea Information and Communications Mutual Aid Association (*1)</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34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15,565</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32,195</w:t>
            </w:r>
          </w:p>
        </w:tc>
      </w:tr>
      <w:tr>
        <w:trPr>
          <w:trHeight w:val="216"/>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Software Mutual Aid Association (*1)</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3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437,715</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593,785</w:t>
            </w:r>
          </w:p>
        </w:tc>
      </w:tr>
      <w:tr>
        <w:trPr>
          <w:trHeight w:val="216"/>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Dandi Hamo Startup Investment Fund No. 1 (*2)</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300,000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300,000</w:t>
            </w:r>
          </w:p>
        </w:tc>
      </w:tr>
      <w:tr>
        <w:trPr>
          <w:trHeight w:val="216"/>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Busan Regional Innovation TIPS Fund No. 1</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3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80,000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80,000</w:t>
            </w:r>
          </w:p>
        </w:tc>
      </w:tr>
      <w:tr>
        <w:trPr>
          <w:trHeight w:val="210"/>
        </w:trPr>
        <w:tc>
          <w:tcPr>
            <w:tcW w:w="7200" w:type="dxa"/>
            <w:vAlign w:val="bottom"/>
            <w:tcBorders>
              <w:top w:val="single" w:sz="8" w:color="CCEEFF"/>
              <w:bottom w:val="single" w:sz="8" w:color="CCEEFF"/>
            </w:tcBorders>
            <w:shd w:val="clear" w:color="auto" w:fill="CCEEFF"/>
          </w:tcPr>
          <w:p>
            <w:pPr>
              <w:ind w:left="3440"/>
              <w:spacing w:after="0"/>
              <w:rPr>
                <w:sz w:val="20"/>
                <w:szCs w:val="20"/>
                <w:color w:val="auto"/>
              </w:rPr>
            </w:pPr>
            <w:r>
              <w:rPr>
                <w:rFonts w:ascii="Times New Roman" w:cs="Times New Roman" w:eastAsia="Times New Roman" w:hAnsi="Times New Roman"/>
                <w:sz w:val="18"/>
                <w:szCs w:val="18"/>
                <w:color w:val="auto"/>
              </w:rPr>
              <w:t>Total</w:t>
            </w:r>
          </w:p>
        </w:tc>
        <w:tc>
          <w:tcPr>
            <w:tcW w:w="116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CCEEFF"/>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833,280</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1,005,980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7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5"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7"/>
          <w:szCs w:val="17"/>
          <w:color w:val="auto"/>
        </w:rPr>
        <w:t>The full amount of the membership contributions has been pledged as collateral (see Notes 6 and 37).</w:t>
      </w:r>
    </w:p>
    <w:p>
      <w:pPr>
        <w:spacing w:after="0" w:line="27" w:lineRule="exact"/>
        <w:rPr>
          <w:sz w:val="20"/>
          <w:szCs w:val="20"/>
          <w:color w:val="auto"/>
        </w:rPr>
      </w:pPr>
    </w:p>
    <w:p>
      <w:pPr>
        <w:jc w:val="both"/>
        <w:ind w:left="460" w:hanging="459"/>
        <w:spacing w:after="0" w:line="260" w:lineRule="auto"/>
        <w:tabs>
          <w:tab w:leader="none" w:pos="440" w:val="left"/>
        </w:tabs>
        <w:rPr>
          <w:sz w:val="20"/>
          <w:szCs w:val="20"/>
          <w:color w:val="auto"/>
        </w:rPr>
      </w:pPr>
      <w:r>
        <w:rPr>
          <w:rFonts w:ascii="Times New Roman" w:cs="Times New Roman" w:eastAsia="Times New Roman" w:hAnsi="Times New Roman"/>
          <w:sz w:val="18"/>
          <w:szCs w:val="18"/>
          <w:color w:val="auto"/>
        </w:rPr>
        <w:t>(*2)</w:t>
        <w:tab/>
        <w:t>The Group determined that cost may be an appropriate estimate of fair value for these equity instruments in accordance with the “Fair Value Measurement Guidelines for Unlisted Shares.”</w:t>
      </w: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b w:val="1"/>
          <w:bCs w:val="1"/>
          <w:color w:val="auto"/>
        </w:rPr>
        <w:t>HANSOL INTICUBE CO.,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Property and equipment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Details of property, plant and equipment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Details of the carrying amounts of property, plant and equipment as of December 31, 2025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4"/>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1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187"/>
        </w:trPr>
        <w:tc>
          <w:tcPr>
            <w:tcW w:w="44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tcPr>
          <w:p>
            <w:pPr>
              <w:jc w:val="center"/>
              <w:ind w:right="220"/>
              <w:spacing w:after="0" w:line="188"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16"/>
        </w:trPr>
        <w:tc>
          <w:tcPr>
            <w:tcW w:w="44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3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Acquisition</w:t>
            </w: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impairment</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Carrying</w:t>
            </w:r>
          </w:p>
        </w:tc>
      </w:tr>
      <w:tr>
        <w:trPr>
          <w:trHeight w:val="238"/>
        </w:trPr>
        <w:tc>
          <w:tcPr>
            <w:tcW w:w="44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3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3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Depreciation</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loss</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09"/>
        </w:trPr>
        <w:tc>
          <w:tcPr>
            <w:tcW w:w="44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640" w:type="dxa"/>
            <w:vAlign w:val="bottom"/>
            <w:tcBorders>
              <w:top w:val="single" w:sz="8" w:color="auto"/>
            </w:tcBorders>
            <w:gridSpan w:val="4"/>
          </w:tcPr>
          <w:p>
            <w:pPr>
              <w:ind w:left="60"/>
              <w:spacing w:after="0"/>
              <w:rPr>
                <w:sz w:val="20"/>
                <w:szCs w:val="20"/>
                <w:color w:val="auto"/>
              </w:rPr>
            </w:pPr>
            <w:r>
              <w:rPr>
                <w:rFonts w:ascii="Times New Roman" w:cs="Times New Roman" w:eastAsia="Times New Roman" w:hAnsi="Times New Roman"/>
                <w:sz w:val="18"/>
                <w:szCs w:val="18"/>
                <w:b w:val="1"/>
                <w:bCs w:val="1"/>
                <w:color w:val="auto"/>
              </w:rPr>
              <w:t>(In thousands of Korean won)</w:t>
            </w:r>
          </w:p>
        </w:tc>
        <w:tc>
          <w:tcPr>
            <w:tcW w:w="11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w:t>
            </w:r>
          </w:p>
        </w:tc>
        <w:tc>
          <w:tcPr>
            <w:tcW w:w="1640" w:type="dxa"/>
            <w:vAlign w:val="bottom"/>
            <w:shd w:val="clear" w:color="auto" w:fill="CCEEFF"/>
          </w:tcPr>
          <w:p>
            <w:pPr>
              <w:ind w:left="136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27,191</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27,191</w:t>
            </w:r>
          </w:p>
        </w:tc>
      </w:tr>
      <w:tr>
        <w:trPr>
          <w:trHeight w:val="216"/>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Buildings</w:t>
            </w:r>
          </w:p>
        </w:tc>
        <w:tc>
          <w:tcPr>
            <w:tcW w:w="16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1,219,525</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(628,827)</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590,698</w:t>
            </w:r>
          </w:p>
        </w:tc>
        <w:tc>
          <w:tcPr>
            <w:tcW w:w="80" w:type="dxa"/>
            <w:vAlign w:val="bottom"/>
          </w:tcPr>
          <w:p>
            <w:pPr>
              <w:spacing w:after="0"/>
              <w:rPr>
                <w:sz w:val="18"/>
                <w:szCs w:val="18"/>
                <w:color w:val="auto"/>
              </w:rPr>
            </w:pPr>
          </w:p>
        </w:tc>
      </w:tr>
      <w:tr>
        <w:trPr>
          <w:trHeight w:val="216"/>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Machinery</w:t>
            </w:r>
          </w:p>
        </w:tc>
        <w:tc>
          <w:tcPr>
            <w:tcW w:w="16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893,478</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(739,214)</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(22,829)</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131,435</w:t>
            </w:r>
          </w:p>
        </w:tc>
        <w:tc>
          <w:tcPr>
            <w:tcW w:w="80" w:type="dxa"/>
            <w:vAlign w:val="bottom"/>
            <w:shd w:val="clear" w:color="auto" w:fill="CCEEFF"/>
          </w:tcPr>
          <w:p>
            <w:pPr>
              <w:spacing w:after="0"/>
              <w:rPr>
                <w:sz w:val="18"/>
                <w:szCs w:val="18"/>
                <w:color w:val="auto"/>
              </w:rPr>
            </w:pPr>
          </w:p>
        </w:tc>
      </w:tr>
      <w:tr>
        <w:trPr>
          <w:trHeight w:val="216"/>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Facilities</w:t>
            </w:r>
          </w:p>
        </w:tc>
        <w:tc>
          <w:tcPr>
            <w:tcW w:w="16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205,353</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(167,857)</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37,496</w:t>
            </w:r>
          </w:p>
        </w:tc>
      </w:tr>
      <w:tr>
        <w:trPr>
          <w:trHeight w:val="216"/>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Vehicles</w:t>
            </w:r>
          </w:p>
        </w:tc>
        <w:tc>
          <w:tcPr>
            <w:tcW w:w="16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61,444</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(42,434)</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19,010</w:t>
            </w:r>
          </w:p>
        </w:tc>
      </w:tr>
      <w:tr>
        <w:trPr>
          <w:trHeight w:val="216"/>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16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3,603,690</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(3,172,379)</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(14,655)</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416,656</w:t>
            </w:r>
          </w:p>
        </w:tc>
        <w:tc>
          <w:tcPr>
            <w:tcW w:w="80" w:type="dxa"/>
            <w:vAlign w:val="bottom"/>
          </w:tcPr>
          <w:p>
            <w:pPr>
              <w:spacing w:after="0"/>
              <w:rPr>
                <w:sz w:val="18"/>
                <w:szCs w:val="18"/>
                <w:color w:val="auto"/>
              </w:rPr>
            </w:pPr>
          </w:p>
        </w:tc>
      </w:tr>
      <w:tr>
        <w:trPr>
          <w:trHeight w:val="216"/>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6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161,154</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(161,154)</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09"/>
        </w:trPr>
        <w:tc>
          <w:tcPr>
            <w:tcW w:w="4420" w:type="dxa"/>
            <w:vAlign w:val="bottom"/>
          </w:tcPr>
          <w:p>
            <w:pPr>
              <w:ind w:left="2720"/>
              <w:spacing w:after="0"/>
              <w:rPr>
                <w:sz w:val="20"/>
                <w:szCs w:val="20"/>
                <w:color w:val="auto"/>
              </w:rPr>
            </w:pPr>
            <w:r>
              <w:rPr>
                <w:rFonts w:ascii="Times New Roman" w:cs="Times New Roman" w:eastAsia="Times New Roman" w:hAnsi="Times New Roman"/>
                <w:sz w:val="18"/>
                <w:szCs w:val="18"/>
                <w:color w:val="auto"/>
              </w:rPr>
              <w:t>Total</w:t>
            </w:r>
          </w:p>
        </w:tc>
        <w:tc>
          <w:tcPr>
            <w:tcW w:w="1640" w:type="dxa"/>
            <w:vAlign w:val="bottom"/>
          </w:tcPr>
          <w:p>
            <w:pPr>
              <w:ind w:left="136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6,171,835</w:t>
            </w:r>
          </w:p>
        </w:tc>
        <w:tc>
          <w:tcPr>
            <w:tcW w:w="220" w:type="dxa"/>
            <w:vAlign w:val="bottom"/>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(4,911,865)</w:t>
            </w:r>
          </w:p>
        </w:tc>
        <w:tc>
          <w:tcPr>
            <w:tcW w:w="220" w:type="dxa"/>
            <w:vAlign w:val="bottom"/>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(37,484)</w:t>
            </w:r>
          </w:p>
        </w:tc>
        <w:tc>
          <w:tcPr>
            <w:tcW w:w="220" w:type="dxa"/>
            <w:vAlign w:val="bottom"/>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1,222,486</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44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B.</w:t>
      </w:r>
      <w:r>
        <w:rPr>
          <w:sz w:val="20"/>
          <w:szCs w:val="20"/>
          <w:color w:val="auto"/>
        </w:rPr>
        <w:tab/>
      </w:r>
      <w:r>
        <w:rPr>
          <w:rFonts w:ascii="Times New Roman" w:cs="Times New Roman" w:eastAsia="Times New Roman" w:hAnsi="Times New Roman"/>
          <w:sz w:val="17"/>
          <w:szCs w:val="17"/>
          <w:b w:val="1"/>
          <w:bCs w:val="1"/>
          <w:color w:val="auto"/>
        </w:rPr>
        <w:t>Changes in property, plant and equipment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the carrying amounts of property, plant and equipment for the year ended December 31, 2025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34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ind w:left="280"/>
              <w:spacing w:after="0" w:line="188" w:lineRule="exact"/>
              <w:rPr>
                <w:sz w:val="20"/>
                <w:szCs w:val="20"/>
                <w:color w:val="auto"/>
              </w:rPr>
            </w:pPr>
            <w:r>
              <w:rPr>
                <w:rFonts w:ascii="Times New Roman" w:cs="Times New Roman" w:eastAsia="Times New Roman" w:hAnsi="Times New Roman"/>
                <w:sz w:val="18"/>
                <w:szCs w:val="18"/>
                <w:b w:val="1"/>
                <w:bCs w:val="1"/>
                <w:color w:val="auto"/>
              </w:rPr>
              <w:t>Ending</w:t>
            </w:r>
          </w:p>
        </w:tc>
        <w:tc>
          <w:tcPr>
            <w:tcW w:w="100" w:type="dxa"/>
            <w:vAlign w:val="bottom"/>
          </w:tcPr>
          <w:p>
            <w:pPr>
              <w:spacing w:after="0"/>
              <w:rPr>
                <w:sz w:val="16"/>
                <w:szCs w:val="16"/>
                <w:color w:val="auto"/>
              </w:rPr>
            </w:pPr>
          </w:p>
        </w:tc>
      </w:tr>
      <w:tr>
        <w:trPr>
          <w:trHeight w:val="238"/>
        </w:trPr>
        <w:tc>
          <w:tcPr>
            <w:tcW w:w="34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3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Beginning</w:t>
            </w:r>
          </w:p>
        </w:tc>
        <w:tc>
          <w:tcPr>
            <w:tcW w:w="13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Additions</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Disposals</w:t>
            </w:r>
          </w:p>
        </w:tc>
        <w:tc>
          <w:tcPr>
            <w:tcW w:w="13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Depreciation</w:t>
            </w:r>
          </w:p>
        </w:tc>
        <w:tc>
          <w:tcPr>
            <w:tcW w:w="122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balance</w:t>
            </w:r>
          </w:p>
        </w:tc>
      </w:tr>
      <w:tr>
        <w:trPr>
          <w:trHeight w:val="209"/>
        </w:trPr>
        <w:tc>
          <w:tcPr>
            <w:tcW w:w="34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3960" w:type="dxa"/>
            <w:vAlign w:val="bottom"/>
            <w:tcBorders>
              <w:top w:val="single" w:sz="8" w:color="auto"/>
            </w:tcBorders>
            <w:gridSpan w:val="6"/>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(In thousands of Korean won)</w:t>
            </w: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w:t>
            </w:r>
          </w:p>
        </w:tc>
        <w:tc>
          <w:tcPr>
            <w:tcW w:w="130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27,191</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27,191</w:t>
            </w:r>
          </w:p>
        </w:tc>
      </w:tr>
      <w:tr>
        <w:trPr>
          <w:trHeight w:val="216"/>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Buildings</w:t>
            </w:r>
          </w:p>
        </w:tc>
        <w:tc>
          <w:tcPr>
            <w:tcW w:w="13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631,352</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(40,654)</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590,698</w:t>
            </w:r>
          </w:p>
        </w:tc>
      </w:tr>
      <w:tr>
        <w:trPr>
          <w:trHeight w:val="216"/>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Machinery</w:t>
            </w:r>
          </w:p>
        </w:tc>
        <w:tc>
          <w:tcPr>
            <w:tcW w:w="1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220,190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40,549</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(10,200)</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(119,104)</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131,435</w:t>
            </w:r>
          </w:p>
        </w:tc>
      </w:tr>
      <w:tr>
        <w:trPr>
          <w:trHeight w:val="216"/>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Facilities</w:t>
            </w:r>
          </w:p>
        </w:tc>
        <w:tc>
          <w:tcPr>
            <w:tcW w:w="13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78,567</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(41,071)</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37,496</w:t>
            </w:r>
          </w:p>
        </w:tc>
      </w:tr>
      <w:tr>
        <w:trPr>
          <w:trHeight w:val="216"/>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Vehicles</w:t>
            </w:r>
          </w:p>
        </w:tc>
        <w:tc>
          <w:tcPr>
            <w:tcW w:w="1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25,439</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(6,429)</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19,010</w:t>
            </w:r>
          </w:p>
        </w:tc>
      </w:tr>
      <w:tr>
        <w:trPr>
          <w:trHeight w:val="216"/>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13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391,659</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252,260</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(19,544)</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(207,719)</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416,656</w:t>
            </w:r>
          </w:p>
        </w:tc>
      </w:tr>
      <w:tr>
        <w:trPr>
          <w:trHeight w:val="210"/>
        </w:trPr>
        <w:tc>
          <w:tcPr>
            <w:tcW w:w="3420" w:type="dxa"/>
            <w:vAlign w:val="bottom"/>
            <w:tcBorders>
              <w:top w:val="single" w:sz="8" w:color="CCEEFF"/>
              <w:bottom w:val="single" w:sz="8" w:color="CCEEFF"/>
            </w:tcBorders>
            <w:shd w:val="clear" w:color="auto" w:fill="CCEEFF"/>
          </w:tcPr>
          <w:p>
            <w:pPr>
              <w:ind w:left="2040"/>
              <w:spacing w:after="0"/>
              <w:rPr>
                <w:sz w:val="20"/>
                <w:szCs w:val="20"/>
                <w:color w:val="auto"/>
              </w:rPr>
            </w:pPr>
            <w:r>
              <w:rPr>
                <w:rFonts w:ascii="Times New Roman" w:cs="Times New Roman" w:eastAsia="Times New Roman" w:hAnsi="Times New Roman"/>
                <w:sz w:val="18"/>
                <w:szCs w:val="18"/>
                <w:color w:val="auto"/>
              </w:rPr>
              <w:t>Total</w:t>
            </w:r>
          </w:p>
        </w:tc>
        <w:tc>
          <w:tcPr>
            <w:tcW w:w="1300" w:type="dxa"/>
            <w:vAlign w:val="bottom"/>
            <w:tcBorders>
              <w:top w:val="single" w:sz="8" w:color="CCEEFF"/>
              <w:bottom w:val="single" w:sz="8" w:color="CCEEFF"/>
            </w:tcBorders>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1,374,398</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292,809</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(29,744)</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(414,977)</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1,222,486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34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Depreciation expense of Korean won 544,465 thousand is included in selling and administrative expenses and includes depreciation of right-of-use assets (see Note 31).</w:t>
      </w:r>
    </w:p>
    <w:p>
      <w:pPr>
        <w:spacing w:after="0" w:line="158" w:lineRule="exact"/>
        <w:rPr>
          <w:sz w:val="20"/>
          <w:szCs w:val="20"/>
          <w:color w:val="auto"/>
        </w:rPr>
      </w:pPr>
    </w:p>
    <w:p>
      <w:pPr>
        <w:ind w:left="340" w:hanging="332"/>
        <w:spacing w:after="0"/>
        <w:tabs>
          <w:tab w:leader="none" w:pos="3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Assets Pledged as Collateral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2025, none of the above property, plant and equipment has been pledged as collateral.</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b w:val="1"/>
          <w:bCs w:val="1"/>
          <w:color w:val="auto"/>
        </w:rPr>
        <w:t>HANSOL INTICUBE CO.,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Intangible assets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Details of intangible assets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Details of the carrying amounts of intangible assets as of December 31, 2025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4"/>
          </w:tcPr>
          <w:p>
            <w:pPr>
              <w:jc w:val="right"/>
              <w:ind w:right="621"/>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1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187"/>
        </w:trPr>
        <w:tc>
          <w:tcPr>
            <w:tcW w:w="44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tcPr>
          <w:p>
            <w:pPr>
              <w:jc w:val="center"/>
              <w:ind w:right="141"/>
              <w:spacing w:after="0" w:line="188"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16"/>
        </w:trPr>
        <w:tc>
          <w:tcPr>
            <w:tcW w:w="44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320" w:type="dxa"/>
            <w:vAlign w:val="bottom"/>
            <w:gridSpan w:val="2"/>
          </w:tcPr>
          <w:p>
            <w:pPr>
              <w:jc w:val="center"/>
              <w:ind w:right="121"/>
              <w:spacing w:after="0"/>
              <w:rPr>
                <w:sz w:val="20"/>
                <w:szCs w:val="20"/>
                <w:color w:val="auto"/>
              </w:rPr>
            </w:pPr>
            <w:r>
              <w:rPr>
                <w:rFonts w:ascii="Times New Roman" w:cs="Times New Roman" w:eastAsia="Times New Roman" w:hAnsi="Times New Roman"/>
                <w:sz w:val="18"/>
                <w:szCs w:val="18"/>
                <w:b w:val="1"/>
                <w:bCs w:val="1"/>
                <w:color w:val="auto"/>
              </w:rPr>
              <w:t>impairment</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Carrying</w:t>
            </w:r>
          </w:p>
        </w:tc>
      </w:tr>
      <w:tr>
        <w:trPr>
          <w:trHeight w:val="238"/>
        </w:trPr>
        <w:tc>
          <w:tcPr>
            <w:tcW w:w="44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3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32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320" w:type="dxa"/>
            <w:vAlign w:val="bottom"/>
            <w:gridSpan w:val="2"/>
          </w:tcPr>
          <w:p>
            <w:pPr>
              <w:jc w:val="center"/>
              <w:ind w:right="121"/>
              <w:spacing w:after="0"/>
              <w:rPr>
                <w:sz w:val="20"/>
                <w:szCs w:val="20"/>
                <w:color w:val="auto"/>
              </w:rPr>
            </w:pPr>
            <w:r>
              <w:rPr>
                <w:rFonts w:ascii="Times New Roman" w:cs="Times New Roman" w:eastAsia="Times New Roman" w:hAnsi="Times New Roman"/>
                <w:sz w:val="18"/>
                <w:szCs w:val="18"/>
                <w:b w:val="1"/>
                <w:bCs w:val="1"/>
                <w:color w:val="auto"/>
              </w:rPr>
              <w:t>Loss</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09"/>
        </w:trPr>
        <w:tc>
          <w:tcPr>
            <w:tcW w:w="44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640" w:type="dxa"/>
            <w:vAlign w:val="bottom"/>
            <w:tcBorders>
              <w:top w:val="single" w:sz="8" w:color="auto"/>
            </w:tcBorders>
            <w:gridSpan w:val="4"/>
          </w:tcPr>
          <w:p>
            <w:pPr>
              <w:jc w:val="right"/>
              <w:ind w:right="201"/>
              <w:spacing w:after="0"/>
              <w:rPr>
                <w:sz w:val="20"/>
                <w:szCs w:val="20"/>
                <w:color w:val="auto"/>
              </w:rPr>
            </w:pPr>
            <w:r>
              <w:rPr>
                <w:rFonts w:ascii="Times New Roman" w:cs="Times New Roman" w:eastAsia="Times New Roman" w:hAnsi="Times New Roman"/>
                <w:sz w:val="18"/>
                <w:szCs w:val="18"/>
                <w:b w:val="1"/>
                <w:bCs w:val="1"/>
                <w:color w:val="auto"/>
              </w:rPr>
              <w:t>(In thousands of Korean won)</w:t>
            </w:r>
          </w:p>
        </w:tc>
        <w:tc>
          <w:tcPr>
            <w:tcW w:w="11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1640" w:type="dxa"/>
            <w:vAlign w:val="bottom"/>
            <w:shd w:val="clear" w:color="auto" w:fill="CCEEFF"/>
          </w:tcPr>
          <w:p>
            <w:pPr>
              <w:ind w:left="136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5,344,787</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(2,606,030)</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2,738,757</w:t>
            </w:r>
          </w:p>
        </w:tc>
        <w:tc>
          <w:tcPr>
            <w:tcW w:w="80" w:type="dxa"/>
            <w:vAlign w:val="bottom"/>
            <w:shd w:val="clear" w:color="auto" w:fill="CCEEFF"/>
          </w:tcPr>
          <w:p>
            <w:pPr>
              <w:spacing w:after="0"/>
              <w:rPr>
                <w:sz w:val="18"/>
                <w:szCs w:val="18"/>
                <w:color w:val="auto"/>
              </w:rPr>
            </w:pPr>
          </w:p>
        </w:tc>
      </w:tr>
      <w:tr>
        <w:trPr>
          <w:trHeight w:val="216"/>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Industrial property rights</w:t>
            </w:r>
          </w:p>
        </w:tc>
        <w:tc>
          <w:tcPr>
            <w:tcW w:w="16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71,643</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(71,643)</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16"/>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Software</w:t>
            </w:r>
          </w:p>
        </w:tc>
        <w:tc>
          <w:tcPr>
            <w:tcW w:w="16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960,555</w:t>
            </w:r>
          </w:p>
        </w:tc>
        <w:tc>
          <w:tcPr>
            <w:tcW w:w="13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(958,440)</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2,115</w:t>
            </w:r>
          </w:p>
        </w:tc>
      </w:tr>
      <w:tr>
        <w:trPr>
          <w:trHeight w:val="216"/>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Membership rights</w:t>
            </w:r>
          </w:p>
        </w:tc>
        <w:tc>
          <w:tcPr>
            <w:tcW w:w="16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537,535</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537,535</w:t>
            </w:r>
          </w:p>
        </w:tc>
        <w:tc>
          <w:tcPr>
            <w:tcW w:w="80" w:type="dxa"/>
            <w:vAlign w:val="bottom"/>
          </w:tcPr>
          <w:p>
            <w:pPr>
              <w:spacing w:after="0"/>
              <w:rPr>
                <w:sz w:val="18"/>
                <w:szCs w:val="18"/>
                <w:color w:val="auto"/>
              </w:rPr>
            </w:pPr>
          </w:p>
        </w:tc>
      </w:tr>
      <w:tr>
        <w:trPr>
          <w:trHeight w:val="230"/>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intangible assets</w:t>
            </w:r>
          </w:p>
        </w:tc>
        <w:tc>
          <w:tcPr>
            <w:tcW w:w="16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3,750,935</w:t>
            </w:r>
          </w:p>
        </w:tc>
        <w:tc>
          <w:tcPr>
            <w:tcW w:w="13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(3,268,038)</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482,897</w:t>
            </w:r>
          </w:p>
        </w:tc>
        <w:tc>
          <w:tcPr>
            <w:tcW w:w="80" w:type="dxa"/>
            <w:vAlign w:val="bottom"/>
            <w:shd w:val="clear" w:color="auto" w:fill="CCEEFF"/>
          </w:tcPr>
          <w:p>
            <w:pPr>
              <w:spacing w:after="0"/>
              <w:rPr>
                <w:sz w:val="19"/>
                <w:szCs w:val="19"/>
                <w:color w:val="auto"/>
              </w:rPr>
            </w:pPr>
          </w:p>
        </w:tc>
      </w:tr>
      <w:tr>
        <w:trPr>
          <w:trHeight w:val="223"/>
        </w:trPr>
        <w:tc>
          <w:tcPr>
            <w:tcW w:w="4420" w:type="dxa"/>
            <w:vAlign w:val="bottom"/>
          </w:tcPr>
          <w:p>
            <w:pPr>
              <w:ind w:left="2720"/>
              <w:spacing w:after="0"/>
              <w:rPr>
                <w:sz w:val="20"/>
                <w:szCs w:val="20"/>
                <w:color w:val="auto"/>
              </w:rPr>
            </w:pPr>
            <w:r>
              <w:rPr>
                <w:rFonts w:ascii="Times New Roman" w:cs="Times New Roman" w:eastAsia="Times New Roman" w:hAnsi="Times New Roman"/>
                <w:sz w:val="18"/>
                <w:szCs w:val="18"/>
                <w:color w:val="auto"/>
              </w:rPr>
              <w:t>Total</w:t>
            </w:r>
          </w:p>
        </w:tc>
        <w:tc>
          <w:tcPr>
            <w:tcW w:w="1640" w:type="dxa"/>
            <w:vAlign w:val="bottom"/>
          </w:tcPr>
          <w:p>
            <w:pPr>
              <w:ind w:left="136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10,665,455</w:t>
            </w:r>
          </w:p>
        </w:tc>
        <w:tc>
          <w:tcPr>
            <w:tcW w:w="22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(4,298,121</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(2,606,030</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3,761,304</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44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B.</w:t>
      </w:r>
      <w:r>
        <w:rPr>
          <w:sz w:val="20"/>
          <w:szCs w:val="20"/>
          <w:color w:val="auto"/>
        </w:rPr>
        <w:tab/>
      </w:r>
      <w:r>
        <w:rPr>
          <w:rFonts w:ascii="Times New Roman" w:cs="Times New Roman" w:eastAsia="Times New Roman" w:hAnsi="Times New Roman"/>
          <w:sz w:val="17"/>
          <w:szCs w:val="17"/>
          <w:b w:val="1"/>
          <w:bCs w:val="1"/>
          <w:color w:val="auto"/>
        </w:rPr>
        <w:t>Changes in intangible assets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the carrying amounts of intangible assets for the year ended December 31, 2025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3"/>
          </w:tcPr>
          <w:p>
            <w:pPr>
              <w:jc w:val="right"/>
              <w:ind w:right="9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187"/>
        </w:trPr>
        <w:tc>
          <w:tcPr>
            <w:tcW w:w="44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320" w:type="dxa"/>
            <w:vAlign w:val="bottom"/>
            <w:gridSpan w:val="2"/>
          </w:tcPr>
          <w:p>
            <w:pPr>
              <w:jc w:val="right"/>
              <w:ind w:right="380"/>
              <w:spacing w:after="0" w:line="188" w:lineRule="exact"/>
              <w:rPr>
                <w:sz w:val="20"/>
                <w:szCs w:val="20"/>
                <w:color w:val="auto"/>
              </w:rPr>
            </w:pPr>
            <w:r>
              <w:rPr>
                <w:rFonts w:ascii="Times New Roman" w:cs="Times New Roman" w:eastAsia="Times New Roman" w:hAnsi="Times New Roman"/>
                <w:sz w:val="18"/>
                <w:szCs w:val="18"/>
                <w:b w:val="1"/>
                <w:bCs w:val="1"/>
                <w:color w:val="auto"/>
              </w:rPr>
              <w:t>Beginning</w:t>
            </w: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Ending</w:t>
            </w:r>
          </w:p>
        </w:tc>
        <w:tc>
          <w:tcPr>
            <w:tcW w:w="100" w:type="dxa"/>
            <w:vAlign w:val="bottom"/>
            <w:gridSpan w:val="2"/>
          </w:tcPr>
          <w:p>
            <w:pPr>
              <w:spacing w:after="0"/>
              <w:rPr>
                <w:sz w:val="16"/>
                <w:szCs w:val="16"/>
                <w:color w:val="auto"/>
              </w:rPr>
            </w:pPr>
          </w:p>
        </w:tc>
      </w:tr>
      <w:tr>
        <w:trPr>
          <w:trHeight w:val="238"/>
        </w:trPr>
        <w:tc>
          <w:tcPr>
            <w:tcW w:w="44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3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13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Additions</w:t>
            </w:r>
          </w:p>
        </w:tc>
        <w:tc>
          <w:tcPr>
            <w:tcW w:w="132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Balance</w:t>
            </w:r>
          </w:p>
        </w:tc>
      </w:tr>
      <w:tr>
        <w:trPr>
          <w:trHeight w:val="209"/>
        </w:trPr>
        <w:tc>
          <w:tcPr>
            <w:tcW w:w="44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640" w:type="dxa"/>
            <w:vAlign w:val="bottom"/>
            <w:tcBorders>
              <w:top w:val="single" w:sz="8" w:color="auto"/>
            </w:tcBorders>
            <w:gridSpan w:val="4"/>
          </w:tcPr>
          <w:p>
            <w:pPr>
              <w:jc w:val="right"/>
              <w:ind w:right="201"/>
              <w:spacing w:after="0"/>
              <w:rPr>
                <w:sz w:val="20"/>
                <w:szCs w:val="20"/>
                <w:color w:val="auto"/>
              </w:rPr>
            </w:pPr>
            <w:r>
              <w:rPr>
                <w:rFonts w:ascii="Times New Roman" w:cs="Times New Roman" w:eastAsia="Times New Roman" w:hAnsi="Times New Roman"/>
                <w:sz w:val="18"/>
                <w:szCs w:val="18"/>
                <w:b w:val="1"/>
                <w:bCs w:val="1"/>
                <w:color w:val="auto"/>
              </w:rPr>
              <w:t>(In thousands of Korean won)</w:t>
            </w:r>
          </w:p>
        </w:tc>
        <w:tc>
          <w:tcPr>
            <w:tcW w:w="11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 (*1)</w:t>
            </w:r>
          </w:p>
        </w:tc>
        <w:tc>
          <w:tcPr>
            <w:tcW w:w="1640" w:type="dxa"/>
            <w:vAlign w:val="bottom"/>
            <w:shd w:val="clear" w:color="auto" w:fill="CCEEFF"/>
          </w:tcPr>
          <w:p>
            <w:pPr>
              <w:ind w:left="136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2,738,757</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2,738,757</w:t>
            </w:r>
          </w:p>
        </w:tc>
        <w:tc>
          <w:tcPr>
            <w:tcW w:w="80" w:type="dxa"/>
            <w:vAlign w:val="bottom"/>
            <w:shd w:val="clear" w:color="auto" w:fill="CCEEFF"/>
          </w:tcPr>
          <w:p>
            <w:pPr>
              <w:spacing w:after="0"/>
              <w:rPr>
                <w:sz w:val="18"/>
                <w:szCs w:val="18"/>
                <w:color w:val="auto"/>
              </w:rPr>
            </w:pPr>
          </w:p>
        </w:tc>
      </w:tr>
      <w:tr>
        <w:trPr>
          <w:trHeight w:val="216"/>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Industrial property rights</w:t>
            </w:r>
          </w:p>
        </w:tc>
        <w:tc>
          <w:tcPr>
            <w:tcW w:w="16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2,753</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(2,753)</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16"/>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Software</w:t>
            </w:r>
          </w:p>
        </w:tc>
        <w:tc>
          <w:tcPr>
            <w:tcW w:w="16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4,335</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(2,220)</w:t>
            </w: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2,115</w:t>
            </w:r>
          </w:p>
        </w:tc>
      </w:tr>
      <w:tr>
        <w:trPr>
          <w:trHeight w:val="216"/>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Membership rights</w:t>
            </w:r>
          </w:p>
        </w:tc>
        <w:tc>
          <w:tcPr>
            <w:tcW w:w="16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537,535</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537,535</w:t>
            </w:r>
          </w:p>
        </w:tc>
        <w:tc>
          <w:tcPr>
            <w:tcW w:w="80" w:type="dxa"/>
            <w:vAlign w:val="bottom"/>
          </w:tcPr>
          <w:p>
            <w:pPr>
              <w:spacing w:after="0"/>
              <w:rPr>
                <w:sz w:val="18"/>
                <w:szCs w:val="18"/>
                <w:color w:val="auto"/>
              </w:rPr>
            </w:pPr>
          </w:p>
        </w:tc>
      </w:tr>
      <w:tr>
        <w:trPr>
          <w:trHeight w:val="230"/>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intangible assets</w:t>
            </w:r>
          </w:p>
        </w:tc>
        <w:tc>
          <w:tcPr>
            <w:tcW w:w="16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619,192</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105,146</w:t>
            </w:r>
          </w:p>
        </w:tc>
        <w:tc>
          <w:tcPr>
            <w:tcW w:w="13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(241,441)</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482,897</w:t>
            </w:r>
          </w:p>
        </w:tc>
        <w:tc>
          <w:tcPr>
            <w:tcW w:w="80" w:type="dxa"/>
            <w:vAlign w:val="bottom"/>
            <w:shd w:val="clear" w:color="auto" w:fill="CCEEFF"/>
          </w:tcPr>
          <w:p>
            <w:pPr>
              <w:spacing w:after="0"/>
              <w:rPr>
                <w:sz w:val="19"/>
                <w:szCs w:val="19"/>
                <w:color w:val="auto"/>
              </w:rPr>
            </w:pPr>
          </w:p>
        </w:tc>
      </w:tr>
      <w:tr>
        <w:trPr>
          <w:trHeight w:val="223"/>
        </w:trPr>
        <w:tc>
          <w:tcPr>
            <w:tcW w:w="4420" w:type="dxa"/>
            <w:vAlign w:val="bottom"/>
          </w:tcPr>
          <w:p>
            <w:pPr>
              <w:ind w:left="2720"/>
              <w:spacing w:after="0"/>
              <w:rPr>
                <w:sz w:val="20"/>
                <w:szCs w:val="20"/>
                <w:color w:val="auto"/>
              </w:rPr>
            </w:pPr>
            <w:r>
              <w:rPr>
                <w:rFonts w:ascii="Times New Roman" w:cs="Times New Roman" w:eastAsia="Times New Roman" w:hAnsi="Times New Roman"/>
                <w:sz w:val="18"/>
                <w:szCs w:val="18"/>
                <w:color w:val="auto"/>
              </w:rPr>
              <w:t>Total</w:t>
            </w:r>
          </w:p>
        </w:tc>
        <w:tc>
          <w:tcPr>
            <w:tcW w:w="1640" w:type="dxa"/>
            <w:vAlign w:val="bottom"/>
          </w:tcPr>
          <w:p>
            <w:pPr>
              <w:ind w:left="136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3,902,572</w:t>
            </w:r>
          </w:p>
        </w:tc>
        <w:tc>
          <w:tcPr>
            <w:tcW w:w="22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105,146</w:t>
            </w:r>
          </w:p>
        </w:tc>
        <w:tc>
          <w:tcPr>
            <w:tcW w:w="22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(246,414</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3,761,304</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44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5" w:lineRule="exact"/>
        <w:rPr>
          <w:sz w:val="20"/>
          <w:szCs w:val="20"/>
          <w:color w:val="auto"/>
        </w:rPr>
      </w:pPr>
    </w:p>
    <w:p>
      <w:pPr>
        <w:jc w:val="both"/>
        <w:ind w:left="460" w:hanging="459"/>
        <w:spacing w:after="0" w:line="261" w:lineRule="auto"/>
        <w:tabs>
          <w:tab w:leader="none" w:pos="440" w:val="left"/>
        </w:tabs>
        <w:rPr>
          <w:sz w:val="20"/>
          <w:szCs w:val="20"/>
          <w:color w:val="auto"/>
        </w:rPr>
      </w:pPr>
      <w:r>
        <w:rPr>
          <w:rFonts w:ascii="Times New Roman" w:cs="Times New Roman" w:eastAsia="Times New Roman" w:hAnsi="Times New Roman"/>
          <w:sz w:val="18"/>
          <w:szCs w:val="18"/>
          <w:color w:val="auto"/>
        </w:rPr>
        <w:t>(*1)</w:t>
        <w:tab/>
        <w:t>The Group performed impairment tests for the year ended December 31, 2025, and no impairment loss was recognized as the carrying amount did not exceed the recoverable amount.</w:t>
      </w: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(*2)</w:t>
      </w:r>
      <w:r>
        <w:rPr>
          <w:sz w:val="20"/>
          <w:szCs w:val="20"/>
          <w:color w:val="auto"/>
        </w:rPr>
        <w:tab/>
      </w:r>
      <w:r>
        <w:rPr>
          <w:rFonts w:ascii="Times New Roman" w:cs="Times New Roman" w:eastAsia="Times New Roman" w:hAnsi="Times New Roman"/>
          <w:sz w:val="17"/>
          <w:szCs w:val="17"/>
          <w:color w:val="auto"/>
        </w:rPr>
        <w:t>Amortization expense of Korean won 231,757 thousand is included in selling and administrative expenses (see Note 31).</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Impairment Test of Goodwill</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2025, the Group identified each subsidiary as a separate cash-generating unit and performed an impairment test. The recoverable amount of the cash-generating unit was determined based on value in use, which was calculated using estimated future cash flows derived from management’s business plans. The revenue growth rate, terminal growth rate and post-tax discount rate used for the significant cash-generating unit are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6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Revenue</w:t>
            </w: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Terminal</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Post-tax</w:t>
            </w:r>
          </w:p>
        </w:tc>
      </w:tr>
      <w:tr>
        <w:trPr>
          <w:trHeight w:val="238"/>
        </w:trPr>
        <w:tc>
          <w:tcPr>
            <w:tcW w:w="386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13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Growth Rate</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Growth Rate</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Discount Rate</w:t>
            </w:r>
          </w:p>
        </w:tc>
      </w:tr>
      <w:tr>
        <w:trPr>
          <w:trHeight w:val="209"/>
        </w:trPr>
        <w:tc>
          <w:tcPr>
            <w:tcW w:w="3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Stickers Corporation Co., Ltd.</w:t>
            </w:r>
          </w:p>
        </w:tc>
        <w:tc>
          <w:tcPr>
            <w:tcW w:w="346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11.1% ~ 38.8%</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1.00%</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9.94%</w:t>
            </w:r>
          </w:p>
        </w:tc>
        <w:tc>
          <w:tcPr>
            <w:tcW w:w="100" w:type="dxa"/>
            <w:vAlign w:val="bottom"/>
            <w:tcBorders>
              <w:top w:val="single" w:sz="8" w:color="CCEEFF"/>
            </w:tcBorders>
            <w:shd w:val="clear" w:color="auto" w:fill="CCEEFF"/>
          </w:tcPr>
          <w:p>
            <w:pPr>
              <w:spacing w:after="0"/>
              <w:rPr>
                <w:sz w:val="18"/>
                <w:szCs w:val="18"/>
                <w:color w:val="auto"/>
              </w:rPr>
            </w:pPr>
          </w:p>
        </w:tc>
      </w:tr>
      <w:tr>
        <w:trPr>
          <w:trHeight w:val="560"/>
        </w:trPr>
        <w:tc>
          <w:tcPr>
            <w:tcW w:w="386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tcPr>
          <w:p>
            <w:pPr>
              <w:jc w:val="right"/>
              <w:ind w:right="1510"/>
              <w:spacing w:after="0"/>
              <w:rPr>
                <w:sz w:val="20"/>
                <w:szCs w:val="20"/>
                <w:color w:val="auto"/>
              </w:rPr>
            </w:pPr>
            <w:r>
              <w:rPr>
                <w:rFonts w:ascii="Times New Roman" w:cs="Times New Roman" w:eastAsia="Times New Roman" w:hAnsi="Times New Roman"/>
                <w:sz w:val="18"/>
                <w:szCs w:val="18"/>
                <w:color w:val="auto"/>
              </w:rPr>
              <w:t>26</w:t>
            </w:r>
          </w:p>
        </w:tc>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65" w:right="33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b w:val="1"/>
          <w:bCs w:val="1"/>
          <w:color w:val="auto"/>
        </w:rPr>
        <w:t>HANSOL INTICUBE CO.,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Sensitivity analysis of value in use to changes in key assumptions is as follows:</w:t>
            </w:r>
          </w:p>
        </w:tc>
        <w:tc>
          <w:tcPr>
            <w:tcW w:w="13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7320" w:type="dxa"/>
            <w:vAlign w:val="bottom"/>
          </w:tcPr>
          <w:p>
            <w:pPr>
              <w:spacing w:after="0"/>
              <w:rPr>
                <w:sz w:val="24"/>
                <w:szCs w:val="24"/>
                <w:color w:val="auto"/>
              </w:rPr>
            </w:pPr>
          </w:p>
        </w:tc>
        <w:tc>
          <w:tcPr>
            <w:tcW w:w="136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Change in</w:t>
            </w:r>
          </w:p>
        </w:tc>
        <w:tc>
          <w:tcPr>
            <w:tcW w:w="13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Increase in</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Decrease in</w:t>
            </w:r>
          </w:p>
        </w:tc>
      </w:tr>
      <w:tr>
        <w:trPr>
          <w:trHeight w:val="238"/>
        </w:trPr>
        <w:tc>
          <w:tcPr>
            <w:tcW w:w="7320" w:type="dxa"/>
            <w:vAlign w:val="bottom"/>
          </w:tcPr>
          <w:p>
            <w:pPr>
              <w:spacing w:after="0"/>
              <w:rPr>
                <w:sz w:val="20"/>
                <w:szCs w:val="20"/>
                <w:color w:val="auto"/>
              </w:rPr>
            </w:pPr>
          </w:p>
        </w:tc>
        <w:tc>
          <w:tcPr>
            <w:tcW w:w="13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Assumption</w:t>
            </w:r>
          </w:p>
        </w:tc>
        <w:tc>
          <w:tcPr>
            <w:tcW w:w="13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Assumption</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Assumption</w:t>
            </w:r>
          </w:p>
        </w:tc>
      </w:tr>
      <w:tr>
        <w:trPr>
          <w:trHeight w:val="209"/>
        </w:trPr>
        <w:tc>
          <w:tcPr>
            <w:tcW w:w="7320" w:type="dxa"/>
            <w:vAlign w:val="bottom"/>
          </w:tcPr>
          <w:p>
            <w:pPr>
              <w:spacing w:after="0"/>
              <w:rPr>
                <w:sz w:val="18"/>
                <w:szCs w:val="18"/>
                <w:color w:val="auto"/>
              </w:rPr>
            </w:pPr>
          </w:p>
        </w:tc>
        <w:tc>
          <w:tcPr>
            <w:tcW w:w="3820" w:type="dxa"/>
            <w:vAlign w:val="bottom"/>
            <w:tcBorders>
              <w:top w:val="single" w:sz="8" w:color="auto"/>
            </w:tcBorders>
            <w:gridSpan w:val="3"/>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(In thousands of Korean won)</w:t>
            </w: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Discount rate</w:t>
            </w: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1.00%</w:t>
            </w:r>
          </w:p>
        </w:tc>
        <w:tc>
          <w:tcPr>
            <w:tcW w:w="1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(579,969)</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726,099</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Long-term growth rate</w:t>
            </w: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1.00%</w:t>
            </w:r>
          </w:p>
        </w:tc>
        <w:tc>
          <w:tcPr>
            <w:tcW w:w="1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788,835</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(630,079)</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growth rate</w:t>
            </w: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1.00%</w:t>
            </w:r>
          </w:p>
        </w:tc>
        <w:tc>
          <w:tcPr>
            <w:tcW w:w="1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664,575</w:t>
            </w: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(657,412)</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Impairment Test of Membership Rights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Membership rights are intangible assets with indefinite useful lives and are not amortized. Instead, they are tested for impairment annually, irrespective of whether there is any indication of impairment. No impairment loss was recognized for the year ended December 31, 2025.</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13. Trade and other payables</w:t>
            </w:r>
          </w:p>
        </w:tc>
        <w:tc>
          <w:tcPr>
            <w:tcW w:w="24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Details of trade and other payables as of December 31, 2025 are as follows:</w:t>
            </w:r>
          </w:p>
        </w:tc>
        <w:tc>
          <w:tcPr>
            <w:tcW w:w="24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76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38"/>
        </w:trPr>
        <w:tc>
          <w:tcPr>
            <w:tcW w:w="76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760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112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8"/>
              </w:rPr>
              <w:t>(In thousands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6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of Korean</w:t>
            </w:r>
          </w:p>
        </w:tc>
        <w:tc>
          <w:tcPr>
            <w:tcW w:w="0" w:type="dxa"/>
            <w:vAlign w:val="bottom"/>
          </w:tcPr>
          <w:p>
            <w:pPr>
              <w:spacing w:after="0"/>
              <w:rPr>
                <w:sz w:val="1"/>
                <w:szCs w:val="1"/>
                <w:color w:val="auto"/>
              </w:rPr>
            </w:pPr>
          </w:p>
        </w:tc>
      </w:tr>
      <w:tr>
        <w:trPr>
          <w:trHeight w:val="238"/>
        </w:trPr>
        <w:tc>
          <w:tcPr>
            <w:tcW w:w="76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won)</w:t>
            </w: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payables</w:t>
            </w:r>
          </w:p>
        </w:tc>
        <w:tc>
          <w:tcPr>
            <w:tcW w:w="2420" w:type="dxa"/>
            <w:vAlign w:val="bottom"/>
            <w:shd w:val="clear" w:color="auto" w:fill="CCEEFF"/>
          </w:tcPr>
          <w:p>
            <w:pPr>
              <w:ind w:left="21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6,422,262</w:t>
            </w:r>
          </w:p>
        </w:tc>
        <w:tc>
          <w:tcPr>
            <w:tcW w:w="0" w:type="dxa"/>
            <w:vAlign w:val="bottom"/>
          </w:tcPr>
          <w:p>
            <w:pPr>
              <w:spacing w:after="0"/>
              <w:rPr>
                <w:sz w:val="1"/>
                <w:szCs w:val="1"/>
                <w:color w:val="auto"/>
              </w:rPr>
            </w:pPr>
          </w:p>
        </w:tc>
      </w:tr>
      <w:tr>
        <w:trPr>
          <w:trHeight w:val="216"/>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Other payables</w:t>
            </w:r>
          </w:p>
        </w:tc>
        <w:tc>
          <w:tcPr>
            <w:tcW w:w="24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790,271</w:t>
            </w: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24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2,512,949</w:t>
            </w:r>
          </w:p>
        </w:tc>
        <w:tc>
          <w:tcPr>
            <w:tcW w:w="0" w:type="dxa"/>
            <w:vAlign w:val="bottom"/>
          </w:tcPr>
          <w:p>
            <w:pPr>
              <w:spacing w:after="0"/>
              <w:rPr>
                <w:sz w:val="1"/>
                <w:szCs w:val="1"/>
                <w:color w:val="auto"/>
              </w:rPr>
            </w:pPr>
          </w:p>
        </w:tc>
      </w:tr>
      <w:tr>
        <w:trPr>
          <w:trHeight w:val="210"/>
        </w:trPr>
        <w:tc>
          <w:tcPr>
            <w:tcW w:w="7600" w:type="dxa"/>
            <w:vAlign w:val="bottom"/>
          </w:tcPr>
          <w:p>
            <w:pPr>
              <w:ind w:left="4720"/>
              <w:spacing w:after="0"/>
              <w:rPr>
                <w:sz w:val="20"/>
                <w:szCs w:val="20"/>
                <w:color w:val="auto"/>
              </w:rPr>
            </w:pPr>
            <w:r>
              <w:rPr>
                <w:rFonts w:ascii="Times New Roman" w:cs="Times New Roman" w:eastAsia="Times New Roman" w:hAnsi="Times New Roman"/>
                <w:sz w:val="18"/>
                <w:szCs w:val="18"/>
                <w:color w:val="auto"/>
              </w:rPr>
              <w:t>Total</w:t>
            </w:r>
          </w:p>
        </w:tc>
        <w:tc>
          <w:tcPr>
            <w:tcW w:w="2420" w:type="dxa"/>
            <w:vAlign w:val="bottom"/>
          </w:tcPr>
          <w:p>
            <w:pPr>
              <w:ind w:left="214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9,725,482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14. Short-term borrowings</w:t>
            </w:r>
          </w:p>
        </w:tc>
        <w:tc>
          <w:tcPr>
            <w:tcW w:w="24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600" w:type="dxa"/>
            <w:vAlign w:val="bottom"/>
            <w:vMerge w:val="continue"/>
          </w:tcPr>
          <w:p>
            <w:pPr>
              <w:spacing w:after="0"/>
              <w:rPr>
                <w:sz w:val="24"/>
                <w:szCs w:val="24"/>
                <w:color w:val="auto"/>
              </w:rPr>
            </w:pPr>
          </w:p>
        </w:tc>
        <w:tc>
          <w:tcPr>
            <w:tcW w:w="24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  Details of short-term borrowings</w:t>
            </w:r>
          </w:p>
        </w:tc>
        <w:tc>
          <w:tcPr>
            <w:tcW w:w="24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Details of short-term borrowings as of December 31, 2025 are as follows:</w:t>
            </w:r>
          </w:p>
        </w:tc>
        <w:tc>
          <w:tcPr>
            <w:tcW w:w="24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76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38"/>
        </w:trPr>
        <w:tc>
          <w:tcPr>
            <w:tcW w:w="76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760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112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8"/>
              </w:rPr>
              <w:t>(In thousands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6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of Korean</w:t>
            </w:r>
          </w:p>
        </w:tc>
        <w:tc>
          <w:tcPr>
            <w:tcW w:w="0" w:type="dxa"/>
            <w:vAlign w:val="bottom"/>
          </w:tcPr>
          <w:p>
            <w:pPr>
              <w:spacing w:after="0"/>
              <w:rPr>
                <w:sz w:val="1"/>
                <w:szCs w:val="1"/>
                <w:color w:val="auto"/>
              </w:rPr>
            </w:pPr>
          </w:p>
        </w:tc>
      </w:tr>
      <w:tr>
        <w:trPr>
          <w:trHeight w:val="238"/>
        </w:trPr>
        <w:tc>
          <w:tcPr>
            <w:tcW w:w="76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won)</w:t>
            </w: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Supplier finance liabilities</w:t>
            </w:r>
          </w:p>
        </w:tc>
        <w:tc>
          <w:tcPr>
            <w:tcW w:w="2420" w:type="dxa"/>
            <w:vAlign w:val="bottom"/>
            <w:shd w:val="clear" w:color="auto" w:fill="CCEEFF"/>
          </w:tcPr>
          <w:p>
            <w:pPr>
              <w:ind w:left="21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5" w:lineRule="exact"/>
        <w:rPr>
          <w:sz w:val="20"/>
          <w:szCs w:val="20"/>
          <w:color w:val="auto"/>
        </w:rPr>
      </w:pPr>
    </w:p>
    <w:p>
      <w:pPr>
        <w:ind w:left="5540" w:right="1800" w:hanging="5532"/>
        <w:spacing w:after="0" w:line="657" w:lineRule="auto"/>
        <w:tabs>
          <w:tab w:leader="none" w:pos="338"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Supplier finance liabilities are short-term in nature, and their carrying amounts are considered to approximate their fair values.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-218440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b w:val="1"/>
          <w:bCs w:val="1"/>
          <w:color w:val="auto"/>
        </w:rPr>
        <w:t>HANSOL INTICUBE CO.,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B.</w:t>
      </w:r>
      <w:r>
        <w:rPr>
          <w:sz w:val="20"/>
          <w:szCs w:val="20"/>
          <w:color w:val="auto"/>
        </w:rPr>
        <w:tab/>
      </w:r>
      <w:r>
        <w:rPr>
          <w:rFonts w:ascii="Times New Roman" w:cs="Times New Roman" w:eastAsia="Times New Roman" w:hAnsi="Times New Roman"/>
          <w:sz w:val="17"/>
          <w:szCs w:val="17"/>
          <w:b w:val="1"/>
          <w:bCs w:val="1"/>
          <w:color w:val="auto"/>
        </w:rPr>
        <w:t>Supplier finance arrangement liabilities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Group has entered into supplier finance arrangements with financial institutions and renews the contractual terms annually. Under these arrangements, the financial institutions obtain rights to certain trade receivables from suppliers. The arrangements modify the payment terms as follows, while all other terms remain consistent with those of trade payables to the respective suppliers.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60" w:type="dxa"/>
            <w:vAlign w:val="bottom"/>
          </w:tcPr>
          <w:p>
            <w:pPr>
              <w:spacing w:after="0"/>
              <w:rPr>
                <w:sz w:val="18"/>
                <w:szCs w:val="18"/>
                <w:color w:val="auto"/>
              </w:rPr>
            </w:pPr>
          </w:p>
        </w:tc>
        <w:tc>
          <w:tcPr>
            <w:tcW w:w="2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8"/>
        </w:trPr>
        <w:tc>
          <w:tcPr>
            <w:tcW w:w="8660" w:type="dxa"/>
            <w:vAlign w:val="bottom"/>
            <w:tcBorders>
              <w:bottom w:val="single" w:sz="8" w:color="CCEEFF"/>
            </w:tcBorders>
          </w:tcPr>
          <w:p>
            <w:pPr>
              <w:spacing w:after="0"/>
              <w:rPr>
                <w:sz w:val="20"/>
                <w:szCs w:val="20"/>
                <w:color w:val="auto"/>
              </w:rPr>
            </w:pPr>
          </w:p>
        </w:tc>
        <w:tc>
          <w:tcPr>
            <w:tcW w:w="2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Borders>
              <w:bottom w:val="single" w:sz="8" w:color="CCEEFF"/>
            </w:tcBorders>
          </w:tcPr>
          <w:p>
            <w:pPr>
              <w:spacing w:after="0"/>
              <w:rPr>
                <w:sz w:val="20"/>
                <w:szCs w:val="20"/>
                <w:color w:val="auto"/>
              </w:rPr>
            </w:pPr>
          </w:p>
        </w:tc>
      </w:tr>
      <w:tr>
        <w:trPr>
          <w:trHeight w:val="209"/>
        </w:trPr>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Supplier finance liabilities</w:t>
            </w:r>
          </w:p>
        </w:tc>
        <w:tc>
          <w:tcPr>
            <w:tcW w:w="2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180 days from invoice issuance</w:t>
            </w:r>
          </w:p>
        </w:tc>
        <w:tc>
          <w:tcPr>
            <w:tcW w:w="100" w:type="dxa"/>
            <w:vAlign w:val="bottom"/>
            <w:shd w:val="clear" w:color="auto" w:fill="CCEEFF"/>
          </w:tcPr>
          <w:p>
            <w:pPr>
              <w:spacing w:after="0"/>
              <w:rPr>
                <w:sz w:val="18"/>
                <w:szCs w:val="18"/>
                <w:color w:val="auto"/>
              </w:rPr>
            </w:pPr>
          </w:p>
        </w:tc>
      </w:tr>
      <w:tr>
        <w:trPr>
          <w:trHeight w:val="234"/>
        </w:trPr>
        <w:tc>
          <w:tcPr>
            <w:tcW w:w="8660" w:type="dxa"/>
            <w:vAlign w:val="bottom"/>
          </w:tcPr>
          <w:p>
            <w:pPr>
              <w:spacing w:after="0"/>
              <w:rPr>
                <w:sz w:val="20"/>
                <w:szCs w:val="20"/>
                <w:color w:val="auto"/>
              </w:rPr>
            </w:pPr>
            <w:r>
              <w:rPr>
                <w:rFonts w:ascii="Times New Roman" w:cs="Times New Roman" w:eastAsia="Times New Roman" w:hAnsi="Times New Roman"/>
                <w:sz w:val="18"/>
                <w:szCs w:val="18"/>
                <w:color w:val="auto"/>
              </w:rPr>
              <w:t>Trade payables not part of supplier finance arrangements (same business)</w:t>
            </w:r>
          </w:p>
        </w:tc>
        <w:tc>
          <w:tcPr>
            <w:tcW w:w="25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30 days from invoice issuance</w:t>
            </w: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terms of the supplier finance arrangements entered into by the Group with financial institutions as of December 31, 2025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8"/>
              </w:rPr>
              <w:t>Contract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Financial Institution</w:t>
            </w:r>
          </w:p>
        </w:tc>
        <w:tc>
          <w:tcPr>
            <w:tcW w:w="940" w:type="dxa"/>
            <w:vAlign w:val="bottom"/>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7"/>
              </w:rPr>
              <w:t>Type</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Maturity</w:t>
            </w:r>
          </w:p>
        </w:tc>
        <w:tc>
          <w:tcPr>
            <w:tcW w:w="15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Credit Limit</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Drawn</w:t>
            </w:r>
          </w:p>
        </w:tc>
        <w:tc>
          <w:tcPr>
            <w:tcW w:w="12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Interest Rate</w:t>
            </w:r>
          </w:p>
        </w:tc>
      </w:tr>
      <w:tr>
        <w:trPr>
          <w:trHeight w:val="209"/>
        </w:trPr>
        <w:tc>
          <w:tcPr>
            <w:tcW w:w="44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Shinhan Bank</w:t>
            </w:r>
          </w:p>
        </w:tc>
        <w:tc>
          <w:tcPr>
            <w:tcW w:w="1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9"/>
              </w:rPr>
              <w:t>USANCE</w:t>
            </w:r>
          </w:p>
        </w:tc>
        <w:tc>
          <w:tcPr>
            <w:tcW w:w="1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2026-05-15</w:t>
            </w:r>
          </w:p>
        </w:tc>
        <w:tc>
          <w:tcPr>
            <w:tcW w:w="22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USD   3,000,000</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561"/>
        </w:trPr>
        <w:tc>
          <w:tcPr>
            <w:tcW w:w="4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9"/>
              </w:rPr>
              <w:t>28</w:t>
            </w: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65" w:right="33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8"/>
          <w:szCs w:val="18"/>
          <w:b w:val="1"/>
          <w:bCs w:val="1"/>
          <w:color w:val="auto"/>
        </w:rPr>
        <w:t>HANSOL INTICUBE CO.,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ind w:right="7860" w:firstLine="8"/>
        <w:spacing w:after="0" w:line="503" w:lineRule="auto"/>
        <w:tabs>
          <w:tab w:leader="none" w:pos="270"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Contract Assets and Contract Liabilities A. Details of contract assets and liabilities</w:t>
      </w:r>
    </w:p>
    <w:p>
      <w:pPr>
        <w:spacing w:after="0"/>
        <w:rPr>
          <w:sz w:val="20"/>
          <w:szCs w:val="20"/>
          <w:color w:val="auto"/>
        </w:rPr>
      </w:pPr>
      <w:r>
        <w:rPr>
          <w:rFonts w:ascii="Times New Roman" w:cs="Times New Roman" w:eastAsia="Times New Roman" w:hAnsi="Times New Roman"/>
          <w:sz w:val="18"/>
          <w:szCs w:val="18"/>
          <w:color w:val="auto"/>
        </w:rPr>
        <w:t>Details of contract assets and contract liabilities as of December 31, 2025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4"/>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Contract Assets</w:t>
            </w: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w w:val="98"/>
              </w:rPr>
              <w:t>Contract Liabilities</w:t>
            </w:r>
          </w:p>
        </w:tc>
        <w:tc>
          <w:tcPr>
            <w:tcW w:w="11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Segment</w:t>
            </w:r>
          </w:p>
        </w:tc>
        <w:tc>
          <w:tcPr>
            <w:tcW w:w="1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b w:val="1"/>
                <w:bCs w:val="1"/>
                <w:color w:val="auto"/>
              </w:rPr>
              <w:t>Category</w:t>
            </w:r>
          </w:p>
        </w:tc>
        <w:tc>
          <w:tcPr>
            <w:tcW w:w="400" w:type="dxa"/>
            <w:vAlign w:val="bottom"/>
          </w:tcPr>
          <w:p>
            <w:pPr>
              <w:spacing w:after="0"/>
              <w:rPr>
                <w:sz w:val="19"/>
                <w:szCs w:val="19"/>
                <w:color w:val="auto"/>
              </w:rPr>
            </w:pPr>
          </w:p>
        </w:tc>
        <w:tc>
          <w:tcPr>
            <w:tcW w:w="1120" w:type="dxa"/>
            <w:vAlign w:val="bottom"/>
            <w:tcBorders>
              <w:bottom w:val="single" w:sz="8" w:color="auto"/>
            </w:tcBorders>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Non-current</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Non-current</w:t>
            </w:r>
          </w:p>
        </w:tc>
        <w:tc>
          <w:tcPr>
            <w:tcW w:w="11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0" w:type="dxa"/>
            <w:vAlign w:val="bottom"/>
            <w:gridSpan w:val="8"/>
          </w:tcPr>
          <w:p>
            <w:pPr>
              <w:jc w:val="right"/>
              <w:ind w:right="1420"/>
              <w:spacing w:after="0"/>
              <w:rPr>
                <w:sz w:val="20"/>
                <w:szCs w:val="20"/>
                <w:color w:val="auto"/>
              </w:rPr>
            </w:pPr>
            <w:r>
              <w:rPr>
                <w:rFonts w:ascii="Times New Roman" w:cs="Times New Roman" w:eastAsia="Times New Roman" w:hAnsi="Times New Roman"/>
                <w:sz w:val="18"/>
                <w:szCs w:val="18"/>
                <w:b w:val="1"/>
                <w:bCs w:val="1"/>
                <w:color w:val="auto"/>
              </w:rPr>
              <w:t>(In thousands of Korean won)</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3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AI-based Digital</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Construction-type</w:t>
            </w:r>
          </w:p>
        </w:tc>
        <w:tc>
          <w:tcPr>
            <w:tcW w:w="400" w:type="dxa"/>
            <w:vAlign w:val="bottom"/>
            <w:vMerge w:val="restart"/>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Contact Center</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contracts</w:t>
            </w:r>
          </w:p>
        </w:tc>
        <w:tc>
          <w:tcPr>
            <w:tcW w:w="400" w:type="dxa"/>
            <w:vAlign w:val="bottom"/>
            <w:vMerge w:val="continue"/>
            <w:shd w:val="clear" w:color="auto" w:fill="CCEEFF"/>
          </w:tcPr>
          <w:p>
            <w:pPr>
              <w:spacing w:after="0"/>
              <w:rPr>
                <w:sz w:val="20"/>
                <w:szCs w:val="20"/>
                <w:color w:val="auto"/>
              </w:rPr>
            </w:pPr>
          </w:p>
        </w:tc>
        <w:tc>
          <w:tcPr>
            <w:tcW w:w="11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99"/>
              </w:rPr>
              <w:t>2,542,405</w:t>
            </w:r>
          </w:p>
        </w:tc>
        <w:tc>
          <w:tcPr>
            <w:tcW w:w="2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2,542,405</w:t>
            </w: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1,822,846</w:t>
            </w:r>
          </w:p>
        </w:tc>
        <w:tc>
          <w:tcPr>
            <w:tcW w:w="15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1,822,846</w:t>
            </w:r>
          </w:p>
        </w:tc>
        <w:tc>
          <w:tcPr>
            <w:tcW w:w="0" w:type="dxa"/>
            <w:vAlign w:val="bottom"/>
          </w:tcPr>
          <w:p>
            <w:pPr>
              <w:spacing w:after="0"/>
              <w:rPr>
                <w:sz w:val="1"/>
                <w:szCs w:val="1"/>
                <w:color w:val="auto"/>
              </w:rPr>
            </w:pPr>
          </w:p>
        </w:tc>
      </w:tr>
      <w:tr>
        <w:trPr>
          <w:trHeight w:val="198"/>
        </w:trPr>
        <w:tc>
          <w:tcPr>
            <w:tcW w:w="13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AI-based Digital</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Maintenance and</w:t>
            </w:r>
          </w:p>
        </w:tc>
        <w:tc>
          <w:tcPr>
            <w:tcW w:w="4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Contact Center</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others</w:t>
            </w:r>
          </w:p>
        </w:tc>
        <w:tc>
          <w:tcPr>
            <w:tcW w:w="400" w:type="dxa"/>
            <w:vAlign w:val="bottom"/>
          </w:tcPr>
          <w:p>
            <w:pPr>
              <w:spacing w:after="0"/>
              <w:rPr>
                <w:sz w:val="20"/>
                <w:szCs w:val="20"/>
                <w:color w:val="auto"/>
              </w:rPr>
            </w:pPr>
          </w:p>
        </w:tc>
        <w:tc>
          <w:tcPr>
            <w:tcW w:w="11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w w:val="99"/>
              </w:rPr>
              <w:t>1,272,881</w:t>
            </w: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1,272,881</w:t>
            </w: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2,839,735</w:t>
            </w:r>
          </w:p>
        </w:tc>
        <w:tc>
          <w:tcPr>
            <w:tcW w:w="15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794,733</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3,634,468</w:t>
            </w:r>
          </w:p>
        </w:tc>
        <w:tc>
          <w:tcPr>
            <w:tcW w:w="0" w:type="dxa"/>
            <w:vAlign w:val="bottom"/>
          </w:tcPr>
          <w:p>
            <w:pPr>
              <w:spacing w:after="0"/>
              <w:rPr>
                <w:sz w:val="1"/>
                <w:szCs w:val="1"/>
                <w:color w:val="auto"/>
              </w:rPr>
            </w:pPr>
          </w:p>
        </w:tc>
      </w:tr>
      <w:tr>
        <w:trPr>
          <w:trHeight w:val="210"/>
        </w:trPr>
        <w:tc>
          <w:tcPr>
            <w:tcW w:w="1340" w:type="dxa"/>
            <w:vAlign w:val="bottom"/>
            <w:tcBorders>
              <w:top w:val="single" w:sz="8" w:color="CCEEFF"/>
            </w:tcBorders>
            <w:shd w:val="clear" w:color="auto" w:fill="CCEEFF"/>
          </w:tcPr>
          <w:p>
            <w:pPr>
              <w:spacing w:after="0"/>
              <w:rPr>
                <w:sz w:val="18"/>
                <w:szCs w:val="18"/>
                <w:color w:val="auto"/>
              </w:rPr>
            </w:pPr>
          </w:p>
        </w:tc>
        <w:tc>
          <w:tcPr>
            <w:tcW w:w="1940" w:type="dxa"/>
            <w:vAlign w:val="bottom"/>
            <w:tcBorders>
              <w:top w:val="single" w:sz="8" w:color="CCEEFF"/>
            </w:tcBorders>
            <w:gridSpan w:val="3"/>
            <w:shd w:val="clear" w:color="auto" w:fill="CCEEFF"/>
          </w:tcPr>
          <w:p>
            <w:pPr>
              <w:jc w:val="center"/>
              <w:ind w:right="1090"/>
              <w:spacing w:after="0"/>
              <w:rPr>
                <w:sz w:val="20"/>
                <w:szCs w:val="20"/>
                <w:color w:val="auto"/>
              </w:rPr>
            </w:pPr>
            <w:r>
              <w:rPr>
                <w:rFonts w:ascii="Times New Roman" w:cs="Times New Roman" w:eastAsia="Times New Roman" w:hAnsi="Times New Roman"/>
                <w:sz w:val="18"/>
                <w:szCs w:val="18"/>
                <w:color w:val="auto"/>
                <w:w w:val="99"/>
              </w:rPr>
              <w:t>Subtotal</w:t>
            </w:r>
          </w:p>
        </w:tc>
        <w:tc>
          <w:tcPr>
            <w:tcW w:w="4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97"/>
              </w:rPr>
              <w:t>3,815,286</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w w:val="73"/>
              </w:rPr>
              <w:t>-</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3,815,286</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4,662,581</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794,733</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5,457,314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3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Pet Healthcare</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Business</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Content services</w:t>
            </w:r>
          </w:p>
        </w:tc>
        <w:tc>
          <w:tcPr>
            <w:tcW w:w="400" w:type="dxa"/>
            <w:vAlign w:val="bottom"/>
          </w:tcPr>
          <w:p>
            <w:pPr>
              <w:spacing w:after="0"/>
              <w:rPr>
                <w:sz w:val="20"/>
                <w:szCs w:val="20"/>
                <w:color w:val="auto"/>
              </w:rPr>
            </w:pPr>
          </w:p>
        </w:tc>
        <w:tc>
          <w:tcPr>
            <w:tcW w:w="112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56,529</w:t>
            </w:r>
          </w:p>
        </w:tc>
        <w:tc>
          <w:tcPr>
            <w:tcW w:w="15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66,432</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122,961</w:t>
            </w:r>
          </w:p>
        </w:tc>
        <w:tc>
          <w:tcPr>
            <w:tcW w:w="0" w:type="dxa"/>
            <w:vAlign w:val="bottom"/>
          </w:tcPr>
          <w:p>
            <w:pPr>
              <w:spacing w:after="0"/>
              <w:rPr>
                <w:sz w:val="1"/>
                <w:szCs w:val="1"/>
                <w:color w:val="auto"/>
              </w:rPr>
            </w:pPr>
          </w:p>
        </w:tc>
      </w:tr>
      <w:tr>
        <w:trPr>
          <w:trHeight w:val="223"/>
        </w:trPr>
        <w:tc>
          <w:tcPr>
            <w:tcW w:w="13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800" w:type="dxa"/>
            <w:vAlign w:val="bottom"/>
            <w:tcBorders>
              <w:top w:val="single" w:sz="8" w:color="CCEEFF"/>
              <w:bottom w:val="single" w:sz="8" w:color="CCEEFF"/>
            </w:tcBorders>
            <w:gridSpan w:val="2"/>
            <w:shd w:val="clear" w:color="auto" w:fill="CCEEFF"/>
          </w:tcPr>
          <w:p>
            <w:pPr>
              <w:jc w:val="center"/>
              <w:ind w:right="1210"/>
              <w:spacing w:after="0"/>
              <w:rPr>
                <w:sz w:val="20"/>
                <w:szCs w:val="20"/>
                <w:color w:val="auto"/>
              </w:rPr>
            </w:pPr>
            <w:r>
              <w:rPr>
                <w:rFonts w:ascii="Times New Roman" w:cs="Times New Roman" w:eastAsia="Times New Roman" w:hAnsi="Times New Roman"/>
                <w:sz w:val="18"/>
                <w:szCs w:val="18"/>
                <w:color w:val="auto"/>
                <w:w w:val="99"/>
              </w:rPr>
              <w:t>Total</w:t>
            </w:r>
          </w:p>
        </w:tc>
        <w:tc>
          <w:tcPr>
            <w:tcW w:w="40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97"/>
              </w:rPr>
              <w:t>3,815,286</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spacing w:after="0"/>
              <w:rPr>
                <w:sz w:val="19"/>
                <w:szCs w:val="19"/>
                <w:color w:val="auto"/>
              </w:rPr>
            </w:pPr>
          </w:p>
        </w:tc>
        <w:tc>
          <w:tcPr>
            <w:tcW w:w="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w w:val="73"/>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3,815,286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4,719,110</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861,165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5,580,275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B.</w:t>
      </w:r>
      <w:r>
        <w:rPr>
          <w:sz w:val="20"/>
          <w:szCs w:val="20"/>
          <w:color w:val="auto"/>
        </w:rPr>
        <w:tab/>
      </w:r>
      <w:r>
        <w:rPr>
          <w:rFonts w:ascii="Times New Roman" w:cs="Times New Roman" w:eastAsia="Times New Roman" w:hAnsi="Times New Roman"/>
          <w:sz w:val="17"/>
          <w:szCs w:val="17"/>
          <w:b w:val="1"/>
          <w:bCs w:val="1"/>
          <w:color w:val="auto"/>
        </w:rPr>
        <w:t>Changes in estimates for contracts in progress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contracts in progress to which the cost-based input method is applied for revenue recognition over time, changes in estimates of total contract revenue and total contract costs during the year ended December 31, 2025, and the effects of such changes on profit or loss for the year ended December 31, 2025 are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38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Change in</w:t>
            </w:r>
          </w:p>
        </w:tc>
        <w:tc>
          <w:tcPr>
            <w:tcW w:w="1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Change in</w:t>
            </w:r>
          </w:p>
        </w:tc>
      </w:tr>
      <w:tr>
        <w:trPr>
          <w:trHeight w:val="216"/>
        </w:trPr>
        <w:tc>
          <w:tcPr>
            <w:tcW w:w="5980" w:type="dxa"/>
            <w:vAlign w:val="bottom"/>
          </w:tcPr>
          <w:p>
            <w:pPr>
              <w:spacing w:after="0"/>
              <w:rPr>
                <w:sz w:val="18"/>
                <w:szCs w:val="18"/>
                <w:color w:val="auto"/>
              </w:rPr>
            </w:pPr>
          </w:p>
        </w:tc>
        <w:tc>
          <w:tcPr>
            <w:tcW w:w="138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Estimated</w:t>
            </w:r>
          </w:p>
        </w:tc>
        <w:tc>
          <w:tcPr>
            <w:tcW w:w="1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Estimated</w:t>
            </w:r>
          </w:p>
        </w:tc>
      </w:tr>
      <w:tr>
        <w:trPr>
          <w:trHeight w:val="216"/>
        </w:trPr>
        <w:tc>
          <w:tcPr>
            <w:tcW w:w="5980" w:type="dxa"/>
            <w:vAlign w:val="bottom"/>
          </w:tcPr>
          <w:p>
            <w:pPr>
              <w:spacing w:after="0"/>
              <w:rPr>
                <w:sz w:val="18"/>
                <w:szCs w:val="18"/>
                <w:color w:val="auto"/>
              </w:rPr>
            </w:pPr>
          </w:p>
        </w:tc>
        <w:tc>
          <w:tcPr>
            <w:tcW w:w="138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1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Total</w:t>
            </w:r>
          </w:p>
        </w:tc>
      </w:tr>
      <w:tr>
        <w:trPr>
          <w:trHeight w:val="238"/>
        </w:trPr>
        <w:tc>
          <w:tcPr>
            <w:tcW w:w="5980" w:type="dxa"/>
            <w:vAlign w:val="bottom"/>
          </w:tcPr>
          <w:p>
            <w:pPr>
              <w:spacing w:after="0"/>
              <w:rPr>
                <w:sz w:val="20"/>
                <w:szCs w:val="20"/>
                <w:color w:val="auto"/>
              </w:rPr>
            </w:pPr>
          </w:p>
        </w:tc>
        <w:tc>
          <w:tcPr>
            <w:tcW w:w="138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8"/>
              </w:rPr>
              <w:t>Contract</w:t>
            </w:r>
          </w:p>
        </w:tc>
        <w:tc>
          <w:tcPr>
            <w:tcW w:w="15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9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Contract</w:t>
            </w:r>
          </w:p>
        </w:tc>
      </w:tr>
      <w:tr>
        <w:trPr>
          <w:trHeight w:val="209"/>
        </w:trPr>
        <w:tc>
          <w:tcPr>
            <w:tcW w:w="5980" w:type="dxa"/>
            <w:vAlign w:val="bottom"/>
          </w:tcPr>
          <w:p>
            <w:pPr>
              <w:spacing w:after="0"/>
              <w:rPr>
                <w:sz w:val="18"/>
                <w:szCs w:val="18"/>
                <w:color w:val="auto"/>
              </w:rPr>
            </w:pPr>
          </w:p>
        </w:tc>
        <w:tc>
          <w:tcPr>
            <w:tcW w:w="138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Revenue</w:t>
            </w:r>
          </w:p>
        </w:tc>
        <w:tc>
          <w:tcPr>
            <w:tcW w:w="152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9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Future</w:t>
            </w:r>
          </w:p>
        </w:tc>
        <w:tc>
          <w:tcPr>
            <w:tcW w:w="200" w:type="dxa"/>
            <w:vAlign w:val="bottom"/>
          </w:tcPr>
          <w:p>
            <w:pPr>
              <w:spacing w:after="0"/>
              <w:rPr>
                <w:sz w:val="18"/>
                <w:szCs w:val="18"/>
                <w:color w:val="auto"/>
              </w:rPr>
            </w:pPr>
          </w:p>
        </w:tc>
        <w:tc>
          <w:tcPr>
            <w:tcW w:w="12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Cost</w:t>
            </w:r>
          </w:p>
        </w:tc>
      </w:tr>
      <w:tr>
        <w:trPr>
          <w:trHeight w:val="210"/>
        </w:trPr>
        <w:tc>
          <w:tcPr>
            <w:tcW w:w="598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2640" w:type="dxa"/>
            <w:vAlign w:val="bottom"/>
            <w:tcBorders>
              <w:top w:val="single" w:sz="8" w:color="auto"/>
            </w:tcBorders>
            <w:gridSpan w:val="3"/>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(In thousands of Korean won)</w:t>
            </w: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AI-based Digital Contact Center</w:t>
            </w:r>
          </w:p>
        </w:tc>
        <w:tc>
          <w:tcPr>
            <w:tcW w:w="13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(65,729)</w:t>
            </w:r>
          </w:p>
        </w:tc>
        <w:tc>
          <w:tcPr>
            <w:tcW w:w="1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318,703</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4,387</w:t>
            </w: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(388,819)</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Major contracts in progress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Contracts in progress to which the cost-based input method is applied for revenue recognition over time and whose contract amounts exceed 5% of revenue for the prior period are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20" w:type="dxa"/>
            <w:vAlign w:val="bottom"/>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2820" w:type="dxa"/>
            <w:vAlign w:val="bottom"/>
          </w:tcPr>
          <w:p>
            <w:pPr>
              <w:spacing w:after="0"/>
              <w:rPr>
                <w:sz w:val="16"/>
                <w:szCs w:val="16"/>
                <w:color w:val="auto"/>
              </w:rPr>
            </w:pPr>
          </w:p>
        </w:tc>
        <w:tc>
          <w:tcPr>
            <w:tcW w:w="1400" w:type="dxa"/>
            <w:vAlign w:val="bottom"/>
          </w:tcPr>
          <w:p>
            <w:pPr>
              <w:jc w:val="right"/>
              <w:ind w:right="390"/>
              <w:spacing w:after="0" w:line="188" w:lineRule="exact"/>
              <w:rPr>
                <w:sz w:val="20"/>
                <w:szCs w:val="20"/>
                <w:color w:val="auto"/>
              </w:rPr>
            </w:pPr>
            <w:r>
              <w:rPr>
                <w:rFonts w:ascii="Times New Roman" w:cs="Times New Roman" w:eastAsia="Times New Roman" w:hAnsi="Times New Roman"/>
                <w:sz w:val="18"/>
                <w:szCs w:val="18"/>
                <w:b w:val="1"/>
                <w:bCs w:val="1"/>
                <w:color w:val="auto"/>
              </w:rPr>
              <w:t>Contract</w:t>
            </w:r>
          </w:p>
        </w:tc>
        <w:tc>
          <w:tcPr>
            <w:tcW w:w="1200" w:type="dxa"/>
            <w:vAlign w:val="bottom"/>
          </w:tcPr>
          <w:p>
            <w:pPr>
              <w:jc w:val="center"/>
              <w:ind w:left="30"/>
              <w:spacing w:after="0" w:line="188" w:lineRule="exact"/>
              <w:rPr>
                <w:sz w:val="20"/>
                <w:szCs w:val="20"/>
                <w:color w:val="auto"/>
              </w:rPr>
            </w:pPr>
            <w:r>
              <w:rPr>
                <w:rFonts w:ascii="Times New Roman" w:cs="Times New Roman" w:eastAsia="Times New Roman" w:hAnsi="Times New Roman"/>
                <w:sz w:val="18"/>
                <w:szCs w:val="18"/>
                <w:b w:val="1"/>
                <w:bCs w:val="1"/>
                <w:color w:val="auto"/>
                <w:w w:val="98"/>
              </w:rPr>
              <w:t>Contract</w:t>
            </w:r>
          </w:p>
        </w:tc>
        <w:tc>
          <w:tcPr>
            <w:tcW w:w="1880" w:type="dxa"/>
            <w:vAlign w:val="bottom"/>
          </w:tcPr>
          <w:p>
            <w:pPr>
              <w:jc w:val="center"/>
              <w:ind w:left="30"/>
              <w:spacing w:after="0" w:line="188" w:lineRule="exact"/>
              <w:rPr>
                <w:sz w:val="20"/>
                <w:szCs w:val="20"/>
                <w:color w:val="auto"/>
              </w:rPr>
            </w:pPr>
            <w:r>
              <w:rPr>
                <w:rFonts w:ascii="Times New Roman" w:cs="Times New Roman" w:eastAsia="Times New Roman" w:hAnsi="Times New Roman"/>
                <w:sz w:val="18"/>
                <w:szCs w:val="18"/>
                <w:b w:val="1"/>
                <w:bCs w:val="1"/>
                <w:color w:val="auto"/>
                <w:w w:val="99"/>
              </w:rPr>
              <w:t>Project</w:t>
            </w:r>
          </w:p>
        </w:tc>
        <w:tc>
          <w:tcPr>
            <w:tcW w:w="1400" w:type="dxa"/>
            <w:vAlign w:val="bottom"/>
          </w:tcPr>
          <w:p>
            <w:pPr>
              <w:spacing w:after="0"/>
              <w:rPr>
                <w:sz w:val="16"/>
                <w:szCs w:val="16"/>
                <w:color w:val="auto"/>
              </w:rPr>
            </w:pPr>
          </w:p>
        </w:tc>
        <w:tc>
          <w:tcPr>
            <w:tcW w:w="1260" w:type="dxa"/>
            <w:vAlign w:val="bottom"/>
          </w:tcPr>
          <w:p>
            <w:pPr>
              <w:jc w:val="right"/>
              <w:ind w:right="270"/>
              <w:spacing w:after="0" w:line="188" w:lineRule="exact"/>
              <w:rPr>
                <w:sz w:val="20"/>
                <w:szCs w:val="20"/>
                <w:color w:val="auto"/>
              </w:rPr>
            </w:pPr>
            <w:r>
              <w:rPr>
                <w:rFonts w:ascii="Times New Roman" w:cs="Times New Roman" w:eastAsia="Times New Roman" w:hAnsi="Times New Roman"/>
                <w:sz w:val="18"/>
                <w:szCs w:val="18"/>
                <w:b w:val="1"/>
                <w:bCs w:val="1"/>
                <w:color w:val="auto"/>
              </w:rPr>
              <w:t>Contract</w:t>
            </w:r>
          </w:p>
        </w:tc>
        <w:tc>
          <w:tcPr>
            <w:tcW w:w="118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3"/>
              </w:rPr>
              <w:t>Trade</w:t>
            </w:r>
          </w:p>
        </w:tc>
        <w:tc>
          <w:tcPr>
            <w:tcW w:w="100" w:type="dxa"/>
            <w:vAlign w:val="bottom"/>
          </w:tcPr>
          <w:p>
            <w:pPr>
              <w:spacing w:after="0"/>
              <w:rPr>
                <w:sz w:val="16"/>
                <w:szCs w:val="16"/>
                <w:color w:val="auto"/>
              </w:rPr>
            </w:pPr>
          </w:p>
        </w:tc>
      </w:tr>
      <w:tr>
        <w:trPr>
          <w:trHeight w:val="238"/>
        </w:trPr>
        <w:tc>
          <w:tcPr>
            <w:tcW w:w="2820" w:type="dxa"/>
            <w:vAlign w:val="bottom"/>
          </w:tcPr>
          <w:p>
            <w:pPr>
              <w:spacing w:after="0"/>
              <w:rPr>
                <w:sz w:val="20"/>
                <w:szCs w:val="20"/>
                <w:color w:val="auto"/>
              </w:rPr>
            </w:pPr>
          </w:p>
        </w:tc>
        <w:tc>
          <w:tcPr>
            <w:tcW w:w="140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88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7"/>
              </w:rPr>
              <w:t>Period</w:t>
            </w:r>
          </w:p>
        </w:tc>
        <w:tc>
          <w:tcPr>
            <w:tcW w:w="14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Progress (%)</w:t>
            </w:r>
          </w:p>
        </w:tc>
        <w:tc>
          <w:tcPr>
            <w:tcW w:w="126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8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Receivables</w:t>
            </w:r>
          </w:p>
        </w:tc>
      </w:tr>
      <w:tr>
        <w:trPr>
          <w:trHeight w:val="210"/>
        </w:trPr>
        <w:tc>
          <w:tcPr>
            <w:tcW w:w="2820" w:type="dxa"/>
            <w:vAlign w:val="bottom"/>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3280" w:type="dxa"/>
            <w:vAlign w:val="bottom"/>
            <w:tcBorders>
              <w:top w:val="single" w:sz="8" w:color="auto"/>
            </w:tcBorders>
            <w:gridSpan w:val="2"/>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(In thousands of Korean won)</w:t>
            </w:r>
          </w:p>
        </w:tc>
        <w:tc>
          <w:tcPr>
            <w:tcW w:w="12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28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Mirae Asset Securities / IPT and</w:t>
            </w:r>
          </w:p>
        </w:tc>
        <w:tc>
          <w:tcPr>
            <w:tcW w:w="14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880" w:type="dxa"/>
            <w:vAlign w:val="bottom"/>
            <w:shd w:val="clear" w:color="auto" w:fill="CCEEFF"/>
          </w:tcPr>
          <w:p>
            <w:pPr>
              <w:jc w:val="center"/>
              <w:ind w:left="130"/>
              <w:spacing w:after="0" w:line="198" w:lineRule="exact"/>
              <w:rPr>
                <w:sz w:val="20"/>
                <w:szCs w:val="20"/>
                <w:color w:val="auto"/>
              </w:rPr>
            </w:pPr>
            <w:r>
              <w:rPr>
                <w:rFonts w:ascii="Times New Roman" w:cs="Times New Roman" w:eastAsia="Times New Roman" w:hAnsi="Times New Roman"/>
                <w:sz w:val="18"/>
                <w:szCs w:val="18"/>
                <w:color w:val="auto"/>
                <w:w w:val="99"/>
              </w:rPr>
              <w:t>2024-07-01 ~</w:t>
            </w:r>
          </w:p>
        </w:tc>
        <w:tc>
          <w:tcPr>
            <w:tcW w:w="14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IPCC reconstruction</w:t>
            </w:r>
          </w:p>
        </w:tc>
        <w:tc>
          <w:tcPr>
            <w:tcW w:w="14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6,117,500</w:t>
            </w:r>
          </w:p>
        </w:tc>
        <w:tc>
          <w:tcPr>
            <w:tcW w:w="120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2024-07-01</w:t>
            </w:r>
          </w:p>
        </w:tc>
        <w:tc>
          <w:tcPr>
            <w:tcW w:w="1880" w:type="dxa"/>
            <w:vAlign w:val="bottom"/>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w w:val="99"/>
              </w:rPr>
              <w:t>2025-09-30</w:t>
            </w:r>
          </w:p>
        </w:tc>
        <w:tc>
          <w:tcPr>
            <w:tcW w:w="1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100</w:t>
            </w:r>
          </w:p>
        </w:tc>
        <w:tc>
          <w:tcPr>
            <w:tcW w:w="1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28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Shinhan Financial Plus / TM Center</w:t>
            </w:r>
          </w:p>
        </w:tc>
        <w:tc>
          <w:tcPr>
            <w:tcW w:w="14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80" w:type="dxa"/>
            <w:vAlign w:val="bottom"/>
          </w:tcPr>
          <w:p>
            <w:pPr>
              <w:jc w:val="center"/>
              <w:ind w:left="130"/>
              <w:spacing w:after="0" w:line="198" w:lineRule="exact"/>
              <w:rPr>
                <w:sz w:val="20"/>
                <w:szCs w:val="20"/>
                <w:color w:val="auto"/>
              </w:rPr>
            </w:pPr>
            <w:r>
              <w:rPr>
                <w:rFonts w:ascii="Times New Roman" w:cs="Times New Roman" w:eastAsia="Times New Roman" w:hAnsi="Times New Roman"/>
                <w:sz w:val="18"/>
                <w:szCs w:val="18"/>
                <w:color w:val="auto"/>
                <w:w w:val="99"/>
              </w:rPr>
              <w:t>2025-01-02 ~</w:t>
            </w:r>
          </w:p>
        </w:tc>
        <w:tc>
          <w:tcPr>
            <w:tcW w:w="14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2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integration</w:t>
            </w:r>
          </w:p>
        </w:tc>
        <w:tc>
          <w:tcPr>
            <w:tcW w:w="14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8,041,588</w:t>
            </w:r>
          </w:p>
        </w:tc>
        <w:tc>
          <w:tcPr>
            <w:tcW w:w="12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2025-01-02</w:t>
            </w:r>
          </w:p>
        </w:tc>
        <w:tc>
          <w:tcPr>
            <w:tcW w:w="188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9"/>
              </w:rPr>
              <w:t>2026-06-30</w:t>
            </w:r>
          </w:p>
        </w:tc>
        <w:tc>
          <w:tcPr>
            <w:tcW w:w="1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76</w:t>
            </w:r>
          </w:p>
        </w:tc>
        <w:tc>
          <w:tcPr>
            <w:tcW w:w="1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862,268</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1,491,341</w:t>
            </w:r>
          </w:p>
        </w:tc>
      </w:tr>
      <w:tr>
        <w:trPr>
          <w:trHeight w:val="198"/>
        </w:trPr>
        <w:tc>
          <w:tcPr>
            <w:tcW w:w="28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NS Home Shopping / AICC</w:t>
            </w:r>
          </w:p>
        </w:tc>
        <w:tc>
          <w:tcPr>
            <w:tcW w:w="14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880" w:type="dxa"/>
            <w:vAlign w:val="bottom"/>
            <w:shd w:val="clear" w:color="auto" w:fill="CCEEFF"/>
          </w:tcPr>
          <w:p>
            <w:pPr>
              <w:jc w:val="center"/>
              <w:ind w:left="130"/>
              <w:spacing w:after="0" w:line="198" w:lineRule="exact"/>
              <w:rPr>
                <w:sz w:val="20"/>
                <w:szCs w:val="20"/>
                <w:color w:val="auto"/>
              </w:rPr>
            </w:pPr>
            <w:r>
              <w:rPr>
                <w:rFonts w:ascii="Times New Roman" w:cs="Times New Roman" w:eastAsia="Times New Roman" w:hAnsi="Times New Roman"/>
                <w:sz w:val="18"/>
                <w:szCs w:val="18"/>
                <w:color w:val="auto"/>
                <w:w w:val="99"/>
              </w:rPr>
              <w:t>2024-09-09 ~</w:t>
            </w:r>
          </w:p>
        </w:tc>
        <w:tc>
          <w:tcPr>
            <w:tcW w:w="14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enhancement</w:t>
            </w:r>
          </w:p>
        </w:tc>
        <w:tc>
          <w:tcPr>
            <w:tcW w:w="14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2,875,001</w:t>
            </w:r>
          </w:p>
        </w:tc>
        <w:tc>
          <w:tcPr>
            <w:tcW w:w="120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2024-09-09</w:t>
            </w:r>
          </w:p>
        </w:tc>
        <w:tc>
          <w:tcPr>
            <w:tcW w:w="1880" w:type="dxa"/>
            <w:vAlign w:val="bottom"/>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w w:val="99"/>
              </w:rPr>
              <w:t>2025-07-31</w:t>
            </w:r>
          </w:p>
        </w:tc>
        <w:tc>
          <w:tcPr>
            <w:tcW w:w="1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100</w:t>
            </w:r>
          </w:p>
        </w:tc>
        <w:tc>
          <w:tcPr>
            <w:tcW w:w="1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28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S-1 Corporation / IPCC enhancement</w:t>
            </w:r>
          </w:p>
        </w:tc>
        <w:tc>
          <w:tcPr>
            <w:tcW w:w="14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80" w:type="dxa"/>
            <w:vAlign w:val="bottom"/>
          </w:tcPr>
          <w:p>
            <w:pPr>
              <w:jc w:val="center"/>
              <w:ind w:left="130"/>
              <w:spacing w:after="0" w:line="198" w:lineRule="exact"/>
              <w:rPr>
                <w:sz w:val="20"/>
                <w:szCs w:val="20"/>
                <w:color w:val="auto"/>
              </w:rPr>
            </w:pPr>
            <w:r>
              <w:rPr>
                <w:rFonts w:ascii="Times New Roman" w:cs="Times New Roman" w:eastAsia="Times New Roman" w:hAnsi="Times New Roman"/>
                <w:sz w:val="18"/>
                <w:szCs w:val="18"/>
                <w:color w:val="auto"/>
                <w:w w:val="99"/>
              </w:rPr>
              <w:t>2025-04-07 ~</w:t>
            </w:r>
          </w:p>
        </w:tc>
        <w:tc>
          <w:tcPr>
            <w:tcW w:w="14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2820" w:type="dxa"/>
            <w:vAlign w:val="bottom"/>
          </w:tcPr>
          <w:p>
            <w:pPr>
              <w:spacing w:after="0"/>
              <w:rPr>
                <w:sz w:val="20"/>
                <w:szCs w:val="20"/>
                <w:color w:val="auto"/>
              </w:rPr>
            </w:pPr>
          </w:p>
        </w:tc>
        <w:tc>
          <w:tcPr>
            <w:tcW w:w="14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2,590,620</w:t>
            </w:r>
          </w:p>
        </w:tc>
        <w:tc>
          <w:tcPr>
            <w:tcW w:w="12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2025-04-07</w:t>
            </w:r>
          </w:p>
        </w:tc>
        <w:tc>
          <w:tcPr>
            <w:tcW w:w="188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9"/>
              </w:rPr>
              <w:t>2025-11-28</w:t>
            </w:r>
          </w:p>
        </w:tc>
        <w:tc>
          <w:tcPr>
            <w:tcW w:w="1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100</w:t>
            </w:r>
          </w:p>
        </w:tc>
        <w:tc>
          <w:tcPr>
            <w:tcW w:w="1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2,668,710</w:t>
            </w:r>
          </w:p>
        </w:tc>
      </w:tr>
      <w:tr>
        <w:trPr>
          <w:trHeight w:val="560"/>
        </w:trPr>
        <w:tc>
          <w:tcPr>
            <w:tcW w:w="28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jc w:val="right"/>
              <w:ind w:right="1490"/>
              <w:spacing w:after="0"/>
              <w:rPr>
                <w:sz w:val="20"/>
                <w:szCs w:val="20"/>
                <w:color w:val="auto"/>
              </w:rPr>
            </w:pPr>
            <w:r>
              <w:rPr>
                <w:rFonts w:ascii="Times New Roman" w:cs="Times New Roman" w:eastAsia="Times New Roman" w:hAnsi="Times New Roman"/>
                <w:sz w:val="18"/>
                <w:szCs w:val="18"/>
                <w:color w:val="auto"/>
              </w:rPr>
              <w:t>29</w:t>
            </w:r>
          </w:p>
        </w:tc>
        <w:tc>
          <w:tcPr>
            <w:tcW w:w="14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65" w:right="33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8"/>
          <w:szCs w:val="18"/>
          <w:b w:val="1"/>
          <w:bCs w:val="1"/>
          <w:color w:val="auto"/>
        </w:rPr>
        <w:t>HANSOL INTICUBE CO.,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Revenue recognized from contract liabilities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recognized for the year ended December 31, 2025 that was included in the contract liability balance at the beginning of the period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0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8"/>
        </w:trPr>
        <w:tc>
          <w:tcPr>
            <w:tcW w:w="680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20"/>
                <w:szCs w:val="20"/>
                <w:color w:val="auto"/>
              </w:rPr>
            </w:pPr>
          </w:p>
        </w:tc>
      </w:tr>
      <w:tr>
        <w:trPr>
          <w:trHeight w:val="187"/>
        </w:trPr>
        <w:tc>
          <w:tcPr>
            <w:tcW w:w="680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112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8"/>
              </w:rPr>
              <w:t>(In thousands</w:t>
            </w:r>
          </w:p>
        </w:tc>
        <w:tc>
          <w:tcPr>
            <w:tcW w:w="100" w:type="dxa"/>
            <w:vAlign w:val="bottom"/>
          </w:tcPr>
          <w:p>
            <w:pPr>
              <w:spacing w:after="0"/>
              <w:rPr>
                <w:sz w:val="16"/>
                <w:szCs w:val="16"/>
                <w:color w:val="auto"/>
              </w:rPr>
            </w:pPr>
          </w:p>
        </w:tc>
      </w:tr>
      <w:tr>
        <w:trPr>
          <w:trHeight w:val="216"/>
        </w:trPr>
        <w:tc>
          <w:tcPr>
            <w:tcW w:w="680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of Korean</w:t>
            </w:r>
          </w:p>
        </w:tc>
      </w:tr>
      <w:tr>
        <w:trPr>
          <w:trHeight w:val="238"/>
        </w:trPr>
        <w:tc>
          <w:tcPr>
            <w:tcW w:w="680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won)</w:t>
            </w:r>
          </w:p>
        </w:tc>
      </w:tr>
      <w:tr>
        <w:trPr>
          <w:trHeight w:val="216"/>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Construction-type contracts</w:t>
            </w:r>
          </w:p>
        </w:tc>
        <w:tc>
          <w:tcPr>
            <w:tcW w:w="3220" w:type="dxa"/>
            <w:vAlign w:val="bottom"/>
            <w:shd w:val="clear" w:color="auto" w:fill="CCEEFF"/>
          </w:tcPr>
          <w:p>
            <w:pPr>
              <w:ind w:left="29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2,669,399</w:t>
            </w:r>
          </w:p>
        </w:tc>
      </w:tr>
      <w:tr>
        <w:trPr>
          <w:trHeight w:val="234"/>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Maintenance and others</w:t>
            </w:r>
          </w:p>
        </w:tc>
        <w:tc>
          <w:tcPr>
            <w:tcW w:w="3220" w:type="dxa"/>
            <w:vAlign w:val="bottom"/>
          </w:tcPr>
          <w:p>
            <w:pPr>
              <w:spacing w:after="0"/>
              <w:rPr>
                <w:sz w:val="20"/>
                <w:szCs w:val="20"/>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2,908,593</w:t>
            </w:r>
          </w:p>
        </w:tc>
      </w:tr>
      <w:tr>
        <w:trPr>
          <w:trHeight w:val="414"/>
        </w:trPr>
        <w:tc>
          <w:tcPr>
            <w:tcW w:w="6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  Contract fulfillment costs recognized as assets</w:t>
            </w:r>
          </w:p>
        </w:tc>
        <w:tc>
          <w:tcPr>
            <w:tcW w:w="3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to the contract balances disclosed above, the Group has recognized assets for costs incurred to fulfill project contracts. These are presented as other assets in the statement of financial position.</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6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8"/>
        </w:trPr>
        <w:tc>
          <w:tcPr>
            <w:tcW w:w="666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20"/>
                <w:szCs w:val="20"/>
                <w:color w:val="auto"/>
              </w:rPr>
            </w:pPr>
          </w:p>
        </w:tc>
      </w:tr>
      <w:tr>
        <w:trPr>
          <w:trHeight w:val="187"/>
        </w:trPr>
        <w:tc>
          <w:tcPr>
            <w:tcW w:w="666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112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8"/>
              </w:rPr>
              <w:t>(In thousands</w:t>
            </w:r>
          </w:p>
        </w:tc>
        <w:tc>
          <w:tcPr>
            <w:tcW w:w="100" w:type="dxa"/>
            <w:vAlign w:val="bottom"/>
          </w:tcPr>
          <w:p>
            <w:pPr>
              <w:spacing w:after="0"/>
              <w:rPr>
                <w:sz w:val="16"/>
                <w:szCs w:val="16"/>
                <w:color w:val="auto"/>
              </w:rPr>
            </w:pPr>
          </w:p>
        </w:tc>
      </w:tr>
      <w:tr>
        <w:trPr>
          <w:trHeight w:val="216"/>
        </w:trPr>
        <w:tc>
          <w:tcPr>
            <w:tcW w:w="666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of Korean</w:t>
            </w:r>
          </w:p>
        </w:tc>
      </w:tr>
      <w:tr>
        <w:trPr>
          <w:trHeight w:val="238"/>
        </w:trPr>
        <w:tc>
          <w:tcPr>
            <w:tcW w:w="666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won)</w:t>
            </w:r>
          </w:p>
        </w:tc>
      </w:tr>
      <w:tr>
        <w:trPr>
          <w:trHeight w:val="216"/>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fulfillment costs recognized as assets (*)</w:t>
            </w:r>
          </w:p>
        </w:tc>
        <w:tc>
          <w:tcPr>
            <w:tcW w:w="3360" w:type="dxa"/>
            <w:vAlign w:val="bottom"/>
            <w:shd w:val="clear" w:color="auto" w:fill="CCEEFF"/>
          </w:tcPr>
          <w:p>
            <w:pPr>
              <w:ind w:left="308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4,555,213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5" w:lineRule="exact"/>
        <w:rPr>
          <w:sz w:val="20"/>
          <w:szCs w:val="20"/>
          <w:color w:val="auto"/>
        </w:rPr>
      </w:pPr>
    </w:p>
    <w:p>
      <w:pPr>
        <w:ind w:left="340" w:hanging="332"/>
        <w:spacing w:after="0" w:line="282" w:lineRule="auto"/>
        <w:tabs>
          <w:tab w:leader="none" w:pos="3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above contract fulfillment costs represent only the costs directly attributable to the Group’s subscription-based projects, which have been classified from prepaid expenses.</w:t>
      </w:r>
    </w:p>
    <w:p>
      <w:pPr>
        <w:spacing w:after="0" w:line="158" w:lineRule="exact"/>
        <w:rPr>
          <w:sz w:val="20"/>
          <w:szCs w:val="20"/>
          <w:color w:val="auto"/>
        </w:rPr>
      </w:pPr>
    </w:p>
    <w:p>
      <w:pPr>
        <w:ind w:left="340" w:hanging="332"/>
        <w:spacing w:after="0"/>
        <w:tabs>
          <w:tab w:leader="none" w:pos="340"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Remaining performance obligations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represents the aggregate amount of the transaction price allocated to performance obligations that are unsatisfied or partially unsatisfied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2025 for long-term contracts with fixed prices: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8"/>
        </w:trPr>
        <w:tc>
          <w:tcPr>
            <w:tcW w:w="722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20"/>
                <w:szCs w:val="20"/>
                <w:color w:val="auto"/>
              </w:rPr>
            </w:pPr>
          </w:p>
        </w:tc>
      </w:tr>
      <w:tr>
        <w:trPr>
          <w:trHeight w:val="187"/>
        </w:trPr>
        <w:tc>
          <w:tcPr>
            <w:tcW w:w="722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112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8"/>
              </w:rPr>
              <w:t>(In thousands</w:t>
            </w:r>
          </w:p>
        </w:tc>
        <w:tc>
          <w:tcPr>
            <w:tcW w:w="100" w:type="dxa"/>
            <w:vAlign w:val="bottom"/>
          </w:tcPr>
          <w:p>
            <w:pPr>
              <w:spacing w:after="0"/>
              <w:rPr>
                <w:sz w:val="16"/>
                <w:szCs w:val="16"/>
                <w:color w:val="auto"/>
              </w:rPr>
            </w:pPr>
          </w:p>
        </w:tc>
      </w:tr>
      <w:tr>
        <w:trPr>
          <w:trHeight w:val="216"/>
        </w:trPr>
        <w:tc>
          <w:tcPr>
            <w:tcW w:w="72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of Korean</w:t>
            </w:r>
          </w:p>
        </w:tc>
      </w:tr>
      <w:tr>
        <w:trPr>
          <w:trHeight w:val="238"/>
        </w:trPr>
        <w:tc>
          <w:tcPr>
            <w:tcW w:w="722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won)</w:t>
            </w:r>
          </w:p>
        </w:tc>
      </w:tr>
      <w:tr>
        <w:trPr>
          <w:trHeight w:val="216"/>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Transaction price allocated to remaining performance obligations</w:t>
            </w:r>
          </w:p>
        </w:tc>
        <w:tc>
          <w:tcPr>
            <w:tcW w:w="2800" w:type="dxa"/>
            <w:vAlign w:val="bottom"/>
            <w:shd w:val="clear" w:color="auto" w:fill="CCEEFF"/>
          </w:tcPr>
          <w:p>
            <w:pPr>
              <w:ind w:left="25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19,909,003</w:t>
            </w: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All other long-term service contracts have original expected durations of one year or less and are billed based on time incurred. In accordance with the practical expedient in IFRS 15, the transaction price allocated to the remaining performance obligations for such contracts has not been disclosed.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Leases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Lease amounts recognized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 recognized in the statement of financial position in relation to leases as of December 31, 2025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6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38"/>
        </w:trPr>
        <w:tc>
          <w:tcPr>
            <w:tcW w:w="526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5260" w:type="dxa"/>
            <w:vAlign w:val="bottom"/>
          </w:tcPr>
          <w:p>
            <w:pPr>
              <w:spacing w:after="0"/>
              <w:rPr>
                <w:sz w:val="16"/>
                <w:szCs w:val="16"/>
                <w:color w:val="auto"/>
              </w:rPr>
            </w:pPr>
          </w:p>
        </w:tc>
        <w:tc>
          <w:tcPr>
            <w:tcW w:w="4760" w:type="dxa"/>
            <w:vAlign w:val="bottom"/>
          </w:tcPr>
          <w:p>
            <w:pPr>
              <w:spacing w:after="0"/>
              <w:rPr>
                <w:sz w:val="16"/>
                <w:szCs w:val="16"/>
                <w:color w:val="auto"/>
              </w:rPr>
            </w:pPr>
          </w:p>
        </w:tc>
        <w:tc>
          <w:tcPr>
            <w:tcW w:w="112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8"/>
              </w:rPr>
              <w:t>(In thousands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26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of Korean</w:t>
            </w:r>
          </w:p>
        </w:tc>
        <w:tc>
          <w:tcPr>
            <w:tcW w:w="0" w:type="dxa"/>
            <w:vAlign w:val="bottom"/>
          </w:tcPr>
          <w:p>
            <w:pPr>
              <w:spacing w:after="0"/>
              <w:rPr>
                <w:sz w:val="1"/>
                <w:szCs w:val="1"/>
                <w:color w:val="auto"/>
              </w:rPr>
            </w:pPr>
          </w:p>
        </w:tc>
      </w:tr>
      <w:tr>
        <w:trPr>
          <w:trHeight w:val="238"/>
        </w:trPr>
        <w:tc>
          <w:tcPr>
            <w:tcW w:w="526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won)</w:t>
            </w: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47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Buildings</w:t>
            </w:r>
          </w:p>
        </w:tc>
        <w:tc>
          <w:tcPr>
            <w:tcW w:w="4760" w:type="dxa"/>
            <w:vAlign w:val="bottom"/>
          </w:tcPr>
          <w:p>
            <w:pPr>
              <w:ind w:left="448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989,956</w:t>
            </w: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Vehicles</w:t>
            </w:r>
          </w:p>
        </w:tc>
        <w:tc>
          <w:tcPr>
            <w:tcW w:w="47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53,864</w:t>
            </w:r>
          </w:p>
        </w:tc>
        <w:tc>
          <w:tcPr>
            <w:tcW w:w="0" w:type="dxa"/>
            <w:vAlign w:val="bottom"/>
          </w:tcPr>
          <w:p>
            <w:pPr>
              <w:spacing w:after="0"/>
              <w:rPr>
                <w:sz w:val="1"/>
                <w:szCs w:val="1"/>
                <w:color w:val="auto"/>
              </w:rPr>
            </w:pPr>
          </w:p>
        </w:tc>
      </w:tr>
      <w:tr>
        <w:trPr>
          <w:trHeight w:val="216"/>
        </w:trPr>
        <w:tc>
          <w:tcPr>
            <w:tcW w:w="5260" w:type="dxa"/>
            <w:vAlign w:val="bottom"/>
          </w:tcPr>
          <w:p>
            <w:pPr>
              <w:ind w:left="4640"/>
              <w:spacing w:after="0"/>
              <w:rPr>
                <w:sz w:val="20"/>
                <w:szCs w:val="20"/>
                <w:color w:val="auto"/>
              </w:rPr>
            </w:pPr>
            <w:r>
              <w:rPr>
                <w:rFonts w:ascii="Times New Roman" w:cs="Times New Roman" w:eastAsia="Times New Roman" w:hAnsi="Times New Roman"/>
                <w:sz w:val="18"/>
                <w:szCs w:val="18"/>
                <w:color w:val="auto"/>
              </w:rPr>
              <w:t>Total</w:t>
            </w:r>
          </w:p>
        </w:tc>
        <w:tc>
          <w:tcPr>
            <w:tcW w:w="476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1,043,820</w:t>
            </w: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47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w:t>
            </w:r>
          </w:p>
        </w:tc>
        <w:tc>
          <w:tcPr>
            <w:tcW w:w="476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769,707</w:t>
            </w: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Non-current</w:t>
            </w:r>
          </w:p>
        </w:tc>
        <w:tc>
          <w:tcPr>
            <w:tcW w:w="47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272,137</w:t>
            </w:r>
          </w:p>
        </w:tc>
        <w:tc>
          <w:tcPr>
            <w:tcW w:w="0" w:type="dxa"/>
            <w:vAlign w:val="bottom"/>
          </w:tcPr>
          <w:p>
            <w:pPr>
              <w:spacing w:after="0"/>
              <w:rPr>
                <w:sz w:val="1"/>
                <w:szCs w:val="1"/>
                <w:color w:val="auto"/>
              </w:rPr>
            </w:pPr>
          </w:p>
        </w:tc>
      </w:tr>
      <w:tr>
        <w:trPr>
          <w:trHeight w:val="223"/>
        </w:trPr>
        <w:tc>
          <w:tcPr>
            <w:tcW w:w="5260" w:type="dxa"/>
            <w:vAlign w:val="bottom"/>
          </w:tcPr>
          <w:p>
            <w:pPr>
              <w:ind w:left="4640"/>
              <w:spacing w:after="0"/>
              <w:rPr>
                <w:sz w:val="20"/>
                <w:szCs w:val="20"/>
                <w:color w:val="auto"/>
              </w:rPr>
            </w:pPr>
            <w:r>
              <w:rPr>
                <w:rFonts w:ascii="Times New Roman" w:cs="Times New Roman" w:eastAsia="Times New Roman" w:hAnsi="Times New Roman"/>
                <w:sz w:val="18"/>
                <w:szCs w:val="18"/>
                <w:color w:val="auto"/>
              </w:rPr>
              <w:t>Total</w:t>
            </w:r>
          </w:p>
        </w:tc>
        <w:tc>
          <w:tcPr>
            <w:tcW w:w="4760" w:type="dxa"/>
            <w:vAlign w:val="bottom"/>
          </w:tcPr>
          <w:p>
            <w:pPr>
              <w:ind w:left="448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1,041,844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4760" w:type="dxa"/>
            <w:vAlign w:val="bottom"/>
            <w:vMerge w:val="restart"/>
          </w:tcPr>
          <w:p>
            <w:pPr>
              <w:jc w:val="right"/>
              <w:ind w:right="4210"/>
              <w:spacing w:after="0"/>
              <w:rPr>
                <w:sz w:val="20"/>
                <w:szCs w:val="20"/>
                <w:color w:val="auto"/>
              </w:rPr>
            </w:pPr>
            <w:r>
              <w:rPr>
                <w:rFonts w:ascii="Times New Roman" w:cs="Times New Roman" w:eastAsia="Times New Roman" w:hAnsi="Times New Roman"/>
                <w:sz w:val="18"/>
                <w:szCs w:val="18"/>
                <w:color w:val="auto"/>
              </w:rPr>
              <w:t>30</w:t>
            </w: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1"/>
        </w:trPr>
        <w:tc>
          <w:tcPr>
            <w:tcW w:w="5260" w:type="dxa"/>
            <w:vAlign w:val="bottom"/>
            <w:tcBorders>
              <w:bottom w:val="single" w:sz="8" w:color="auto"/>
            </w:tcBorders>
          </w:tcPr>
          <w:p>
            <w:pPr>
              <w:spacing w:after="0"/>
              <w:rPr>
                <w:sz w:val="24"/>
                <w:szCs w:val="24"/>
                <w:color w:val="auto"/>
              </w:rPr>
            </w:pPr>
          </w:p>
        </w:tc>
        <w:tc>
          <w:tcPr>
            <w:tcW w:w="4760" w:type="dxa"/>
            <w:vAlign w:val="bottom"/>
            <w:tcBorders>
              <w:bottom w:val="single" w:sz="8" w:color="auto"/>
            </w:tcBorders>
            <w:vMerge w:val="continue"/>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65" w:right="339" w:bottom="933"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8"/>
          <w:szCs w:val="18"/>
          <w:b w:val="1"/>
          <w:bCs w:val="1"/>
          <w:color w:val="auto"/>
        </w:rPr>
        <w:t>HANSOL INTICUBE CO.,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B.</w:t>
      </w:r>
      <w:r>
        <w:rPr>
          <w:sz w:val="20"/>
          <w:szCs w:val="20"/>
          <w:color w:val="auto"/>
        </w:rPr>
        <w:tab/>
      </w:r>
      <w:r>
        <w:rPr>
          <w:rFonts w:ascii="Times New Roman" w:cs="Times New Roman" w:eastAsia="Times New Roman" w:hAnsi="Times New Roman"/>
          <w:sz w:val="17"/>
          <w:szCs w:val="17"/>
          <w:b w:val="1"/>
          <w:bCs w:val="1"/>
          <w:color w:val="auto"/>
        </w:rPr>
        <w:t>Changes in right-of-use assets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right-of-use assets for the year ended December 31, 2025 are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3"/>
          </w:tcPr>
          <w:p>
            <w:pPr>
              <w:jc w:val="right"/>
              <w:ind w:right="9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44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320" w:type="dxa"/>
            <w:vAlign w:val="bottom"/>
            <w:gridSpan w:val="2"/>
          </w:tcPr>
          <w:p>
            <w:pPr>
              <w:jc w:val="right"/>
              <w:ind w:right="380"/>
              <w:spacing w:after="0" w:line="188" w:lineRule="exact"/>
              <w:rPr>
                <w:sz w:val="20"/>
                <w:szCs w:val="20"/>
                <w:color w:val="auto"/>
              </w:rPr>
            </w:pPr>
            <w:r>
              <w:rPr>
                <w:rFonts w:ascii="Times New Roman" w:cs="Times New Roman" w:eastAsia="Times New Roman" w:hAnsi="Times New Roman"/>
                <w:sz w:val="18"/>
                <w:szCs w:val="18"/>
                <w:b w:val="1"/>
                <w:bCs w:val="1"/>
                <w:color w:val="auto"/>
              </w:rPr>
              <w:t>Beginning</w:t>
            </w: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ind w:left="280"/>
              <w:spacing w:after="0" w:line="188" w:lineRule="exact"/>
              <w:rPr>
                <w:sz w:val="20"/>
                <w:szCs w:val="20"/>
                <w:color w:val="auto"/>
              </w:rPr>
            </w:pPr>
            <w:r>
              <w:rPr>
                <w:rFonts w:ascii="Times New Roman" w:cs="Times New Roman" w:eastAsia="Times New Roman" w:hAnsi="Times New Roman"/>
                <w:sz w:val="18"/>
                <w:szCs w:val="18"/>
                <w:b w:val="1"/>
                <w:bCs w:val="1"/>
                <w:color w:val="auto"/>
              </w:rPr>
              <w:t>Ending</w:t>
            </w:r>
          </w:p>
        </w:tc>
        <w:tc>
          <w:tcPr>
            <w:tcW w:w="100" w:type="dxa"/>
            <w:vAlign w:val="bottom"/>
          </w:tcPr>
          <w:p>
            <w:pPr>
              <w:spacing w:after="0"/>
              <w:rPr>
                <w:sz w:val="16"/>
                <w:szCs w:val="16"/>
                <w:color w:val="auto"/>
              </w:rPr>
            </w:pPr>
          </w:p>
        </w:tc>
      </w:tr>
      <w:tr>
        <w:trPr>
          <w:trHeight w:val="238"/>
        </w:trPr>
        <w:tc>
          <w:tcPr>
            <w:tcW w:w="44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320" w:type="dxa"/>
            <w:vAlign w:val="bottom"/>
            <w:tcBorders>
              <w:bottom w:val="single" w:sz="8" w:color="auto"/>
            </w:tcBorders>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1320" w:type="dxa"/>
            <w:vAlign w:val="bottom"/>
            <w:tcBorders>
              <w:bottom w:val="single" w:sz="8" w:color="auto"/>
            </w:tcBorders>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Additions</w:t>
            </w:r>
          </w:p>
        </w:tc>
        <w:tc>
          <w:tcPr>
            <w:tcW w:w="1320" w:type="dxa"/>
            <w:vAlign w:val="bottom"/>
            <w:tcBorders>
              <w:bottom w:val="single" w:sz="8" w:color="auto"/>
            </w:tcBorders>
            <w:gridSpan w:val="2"/>
          </w:tcPr>
          <w:p>
            <w:pPr>
              <w:jc w:val="right"/>
              <w:ind w:right="201"/>
              <w:spacing w:after="0"/>
              <w:rPr>
                <w:sz w:val="20"/>
                <w:szCs w:val="20"/>
                <w:color w:val="auto"/>
              </w:rPr>
            </w:pPr>
            <w:r>
              <w:rPr>
                <w:rFonts w:ascii="Times New Roman" w:cs="Times New Roman" w:eastAsia="Times New Roman" w:hAnsi="Times New Roman"/>
                <w:sz w:val="18"/>
                <w:szCs w:val="18"/>
                <w:b w:val="1"/>
                <w:bCs w:val="1"/>
                <w:color w:val="auto"/>
              </w:rPr>
              <w:t>Depreciation</w:t>
            </w:r>
          </w:p>
        </w:tc>
        <w:tc>
          <w:tcPr>
            <w:tcW w:w="1220" w:type="dxa"/>
            <w:vAlign w:val="bottom"/>
            <w:tcBorders>
              <w:bottom w:val="single" w:sz="8" w:color="auto"/>
            </w:tcBorders>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balance</w:t>
            </w:r>
          </w:p>
        </w:tc>
      </w:tr>
      <w:tr>
        <w:trPr>
          <w:trHeight w:val="209"/>
        </w:trPr>
        <w:tc>
          <w:tcPr>
            <w:tcW w:w="44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40" w:type="dxa"/>
            <w:vAlign w:val="bottom"/>
            <w:gridSpan w:val="4"/>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(In thousands of Korean won)</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Buildings</w:t>
            </w:r>
          </w:p>
        </w:tc>
        <w:tc>
          <w:tcPr>
            <w:tcW w:w="1640" w:type="dxa"/>
            <w:vAlign w:val="bottom"/>
            <w:shd w:val="clear" w:color="auto" w:fill="CCEEFF"/>
          </w:tcPr>
          <w:p>
            <w:pPr>
              <w:ind w:left="136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417,064</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1,437,287</w:t>
            </w:r>
          </w:p>
        </w:tc>
        <w:tc>
          <w:tcPr>
            <w:tcW w:w="13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(864,395)</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989,956</w:t>
            </w:r>
          </w:p>
        </w:tc>
      </w:tr>
      <w:tr>
        <w:trPr>
          <w:trHeight w:val="216"/>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Vehicles</w:t>
            </w:r>
          </w:p>
        </w:tc>
        <w:tc>
          <w:tcPr>
            <w:tcW w:w="16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65,409</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24,104</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(35,649)</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53,864</w:t>
            </w:r>
          </w:p>
        </w:tc>
      </w:tr>
      <w:tr>
        <w:trPr>
          <w:trHeight w:val="223"/>
        </w:trPr>
        <w:tc>
          <w:tcPr>
            <w:tcW w:w="4420" w:type="dxa"/>
            <w:vAlign w:val="bottom"/>
            <w:tcBorders>
              <w:top w:val="single" w:sz="8" w:color="CCEEFF"/>
              <w:bottom w:val="single" w:sz="8" w:color="CCEEFF"/>
            </w:tcBorders>
            <w:shd w:val="clear" w:color="auto" w:fill="CCEEFF"/>
          </w:tcPr>
          <w:p>
            <w:pPr>
              <w:ind w:left="2720"/>
              <w:spacing w:after="0"/>
              <w:rPr>
                <w:sz w:val="20"/>
                <w:szCs w:val="20"/>
                <w:color w:val="auto"/>
              </w:rPr>
            </w:pPr>
            <w:r>
              <w:rPr>
                <w:rFonts w:ascii="Times New Roman" w:cs="Times New Roman" w:eastAsia="Times New Roman" w:hAnsi="Times New Roman"/>
                <w:sz w:val="18"/>
                <w:szCs w:val="18"/>
                <w:color w:val="auto"/>
              </w:rPr>
              <w:t>Total</w:t>
            </w:r>
          </w:p>
        </w:tc>
        <w:tc>
          <w:tcPr>
            <w:tcW w:w="1640" w:type="dxa"/>
            <w:vAlign w:val="bottom"/>
            <w:tcBorders>
              <w:top w:val="single" w:sz="8" w:color="CCEEFF"/>
              <w:bottom w:val="single" w:sz="8" w:color="CCEEFF"/>
            </w:tcBorders>
            <w:shd w:val="clear" w:color="auto" w:fill="CCEEFF"/>
          </w:tcPr>
          <w:p>
            <w:pPr>
              <w:ind w:left="136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482,473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1,461,391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(900,044</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1,043,820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4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Changes in lease liabilities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lease liabilities for the year ended December 31, 2025 are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7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27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80" w:type="dxa"/>
            <w:vAlign w:val="bottom"/>
            <w:gridSpan w:val="2"/>
          </w:tcPr>
          <w:p>
            <w:pPr>
              <w:jc w:val="right"/>
              <w:ind w:right="140"/>
              <w:spacing w:after="0" w:line="188" w:lineRule="exact"/>
              <w:rPr>
                <w:sz w:val="20"/>
                <w:szCs w:val="20"/>
                <w:color w:val="auto"/>
              </w:rPr>
            </w:pPr>
            <w:r>
              <w:rPr>
                <w:rFonts w:ascii="Times New Roman" w:cs="Times New Roman" w:eastAsia="Times New Roman" w:hAnsi="Times New Roman"/>
                <w:sz w:val="18"/>
                <w:szCs w:val="18"/>
                <w:b w:val="1"/>
                <w:bCs w:val="1"/>
                <w:color w:val="auto"/>
              </w:rPr>
              <w:t>Beginning</w:t>
            </w: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gridSpan w:val="2"/>
          </w:tcPr>
          <w:p>
            <w:pPr>
              <w:jc w:val="right"/>
              <w:ind w:right="360"/>
              <w:spacing w:after="0" w:line="188" w:lineRule="exact"/>
              <w:rPr>
                <w:sz w:val="20"/>
                <w:szCs w:val="20"/>
                <w:color w:val="auto"/>
              </w:rPr>
            </w:pPr>
            <w:r>
              <w:rPr>
                <w:rFonts w:ascii="Times New Roman" w:cs="Times New Roman" w:eastAsia="Times New Roman" w:hAnsi="Times New Roman"/>
                <w:sz w:val="18"/>
                <w:szCs w:val="18"/>
                <w:b w:val="1"/>
                <w:bCs w:val="1"/>
                <w:color w:val="auto"/>
              </w:rPr>
              <w:t>Interest</w:t>
            </w: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gridSpan w:val="2"/>
          </w:tcPr>
          <w:p>
            <w:pPr>
              <w:ind w:left="180"/>
              <w:spacing w:after="0" w:line="188" w:lineRule="exact"/>
              <w:rPr>
                <w:sz w:val="20"/>
                <w:szCs w:val="20"/>
                <w:color w:val="auto"/>
              </w:rPr>
            </w:pPr>
            <w:r>
              <w:rPr>
                <w:rFonts w:ascii="Times New Roman" w:cs="Times New Roman" w:eastAsia="Times New Roman" w:hAnsi="Times New Roman"/>
                <w:sz w:val="18"/>
                <w:szCs w:val="18"/>
                <w:b w:val="1"/>
                <w:bCs w:val="1"/>
                <w:color w:val="auto"/>
              </w:rPr>
              <w:t>Ending</w:t>
            </w: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Non-</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7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8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Additions</w:t>
            </w:r>
          </w:p>
        </w:tc>
        <w:tc>
          <w:tcPr>
            <w:tcW w:w="1100" w:type="dxa"/>
            <w:vAlign w:val="bottom"/>
            <w:tcBorders>
              <w:bottom w:val="single" w:sz="8" w:color="auto"/>
            </w:tcBorders>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expense</w:t>
            </w:r>
          </w:p>
        </w:tc>
        <w:tc>
          <w:tcPr>
            <w:tcW w:w="1100" w:type="dxa"/>
            <w:vAlign w:val="bottom"/>
            <w:tcBorders>
              <w:bottom w:val="single" w:sz="8" w:color="auto"/>
            </w:tcBorders>
            <w:gridSpan w:val="2"/>
          </w:tcPr>
          <w:p>
            <w:pPr>
              <w:jc w:val="right"/>
              <w:ind w:right="201"/>
              <w:spacing w:after="0"/>
              <w:rPr>
                <w:sz w:val="20"/>
                <w:szCs w:val="20"/>
                <w:color w:val="auto"/>
              </w:rPr>
            </w:pPr>
            <w:r>
              <w:rPr>
                <w:rFonts w:ascii="Times New Roman" w:cs="Times New Roman" w:eastAsia="Times New Roman" w:hAnsi="Times New Roman"/>
                <w:sz w:val="18"/>
                <w:szCs w:val="18"/>
                <w:b w:val="1"/>
                <w:bCs w:val="1"/>
                <w:color w:val="auto"/>
              </w:rPr>
              <w:t>Payments</w:t>
            </w:r>
          </w:p>
        </w:tc>
        <w:tc>
          <w:tcPr>
            <w:tcW w:w="112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90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current</w:t>
            </w:r>
          </w:p>
        </w:tc>
        <w:tc>
          <w:tcPr>
            <w:tcW w:w="0" w:type="dxa"/>
            <w:vAlign w:val="bottom"/>
          </w:tcPr>
          <w:p>
            <w:pPr>
              <w:spacing w:after="0"/>
              <w:rPr>
                <w:sz w:val="1"/>
                <w:szCs w:val="1"/>
                <w:color w:val="auto"/>
              </w:rPr>
            </w:pPr>
          </w:p>
        </w:tc>
      </w:tr>
      <w:tr>
        <w:trPr>
          <w:trHeight w:val="209"/>
        </w:trPr>
        <w:tc>
          <w:tcPr>
            <w:tcW w:w="27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320" w:type="dxa"/>
            <w:vAlign w:val="bottom"/>
            <w:gridSpan w:val="6"/>
          </w:tcPr>
          <w:p>
            <w:pPr>
              <w:ind w:left="440"/>
              <w:spacing w:after="0"/>
              <w:rPr>
                <w:sz w:val="20"/>
                <w:szCs w:val="20"/>
                <w:color w:val="auto"/>
              </w:rPr>
            </w:pPr>
            <w:r>
              <w:rPr>
                <w:rFonts w:ascii="Times New Roman" w:cs="Times New Roman" w:eastAsia="Times New Roman" w:hAnsi="Times New Roman"/>
                <w:sz w:val="18"/>
                <w:szCs w:val="18"/>
                <w:b w:val="1"/>
                <w:bCs w:val="1"/>
                <w:color w:val="auto"/>
              </w:rPr>
              <w:t>(In thousands of Korean won)</w:t>
            </w: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Buildings</w:t>
            </w:r>
          </w:p>
        </w:tc>
        <w:tc>
          <w:tcPr>
            <w:tcW w:w="8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379,207</w:t>
            </w:r>
          </w:p>
        </w:tc>
        <w:tc>
          <w:tcPr>
            <w:tcW w:w="12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1,413,677</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49,021</w:t>
            </w:r>
          </w:p>
        </w:tc>
        <w:tc>
          <w:tcPr>
            <w:tcW w:w="11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(855,446)</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986,459</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742,448</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244,011</w:t>
            </w:r>
          </w:p>
        </w:tc>
        <w:tc>
          <w:tcPr>
            <w:tcW w:w="0" w:type="dxa"/>
            <w:vAlign w:val="bottom"/>
          </w:tcPr>
          <w:p>
            <w:pPr>
              <w:spacing w:after="0"/>
              <w:rPr>
                <w:sz w:val="1"/>
                <w:szCs w:val="1"/>
                <w:color w:val="auto"/>
              </w:rPr>
            </w:pPr>
          </w:p>
        </w:tc>
      </w:tr>
      <w:tr>
        <w:trPr>
          <w:trHeight w:val="216"/>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Vehicles</w:t>
            </w:r>
          </w:p>
        </w:tc>
        <w:tc>
          <w:tcPr>
            <w:tcW w:w="8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66,977</w:t>
            </w:r>
          </w:p>
        </w:tc>
        <w:tc>
          <w:tcPr>
            <w:tcW w:w="12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24,104</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3,356</w:t>
            </w:r>
          </w:p>
        </w:tc>
        <w:tc>
          <w:tcPr>
            <w:tcW w:w="11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(39,052)</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55,385</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27,259</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28,126</w:t>
            </w:r>
          </w:p>
        </w:tc>
        <w:tc>
          <w:tcPr>
            <w:tcW w:w="0" w:type="dxa"/>
            <w:vAlign w:val="bottom"/>
          </w:tcPr>
          <w:p>
            <w:pPr>
              <w:spacing w:after="0"/>
              <w:rPr>
                <w:sz w:val="1"/>
                <w:szCs w:val="1"/>
                <w:color w:val="auto"/>
              </w:rPr>
            </w:pPr>
          </w:p>
        </w:tc>
      </w:tr>
      <w:tr>
        <w:trPr>
          <w:trHeight w:val="223"/>
        </w:trPr>
        <w:tc>
          <w:tcPr>
            <w:tcW w:w="2780" w:type="dxa"/>
            <w:vAlign w:val="bottom"/>
            <w:tcBorders>
              <w:top w:val="single" w:sz="8" w:color="CCEEFF"/>
              <w:bottom w:val="single" w:sz="8" w:color="CCEEFF"/>
            </w:tcBorders>
            <w:shd w:val="clear" w:color="auto" w:fill="CCEEFF"/>
          </w:tcPr>
          <w:p>
            <w:pPr>
              <w:ind w:left="1480"/>
              <w:spacing w:after="0"/>
              <w:rPr>
                <w:sz w:val="20"/>
                <w:szCs w:val="20"/>
                <w:color w:val="auto"/>
              </w:rPr>
            </w:pPr>
            <w:r>
              <w:rPr>
                <w:rFonts w:ascii="Times New Roman" w:cs="Times New Roman" w:eastAsia="Times New Roman" w:hAnsi="Times New Roman"/>
                <w:sz w:val="18"/>
                <w:szCs w:val="18"/>
                <w:color w:val="auto"/>
              </w:rPr>
              <w:t>Total</w:t>
            </w:r>
          </w:p>
        </w:tc>
        <w:tc>
          <w:tcPr>
            <w:tcW w:w="800" w:type="dxa"/>
            <w:vAlign w:val="bottom"/>
            <w:tcBorders>
              <w:top w:val="single" w:sz="8" w:color="CCEEFF"/>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446,184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1,437,781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52,377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(894,498</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1,041,844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769,707</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272,137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D.  Lease-related expenses</w:t>
            </w:r>
          </w:p>
        </w:tc>
        <w:tc>
          <w:tcPr>
            <w:tcW w:w="8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780" w:type="dxa"/>
            <w:vAlign w:val="bottom"/>
            <w:vMerge w:val="continue"/>
          </w:tcPr>
          <w:p>
            <w:pPr>
              <w:spacing w:after="0"/>
              <w:rPr>
                <w:sz w:val="24"/>
                <w:szCs w:val="24"/>
                <w:color w:val="auto"/>
              </w:rPr>
            </w:pPr>
          </w:p>
        </w:tc>
        <w:tc>
          <w:tcPr>
            <w:tcW w:w="8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14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Expenses relating to short-term leases and leases of low-value assets for the year ended December 31, 2025 are as follows:</w:t>
            </w: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2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27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00" w:type="dxa"/>
            <w:vAlign w:val="bottom"/>
            <w:gridSpan w:val="2"/>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8"/>
              </w:rPr>
              <w:t>(In thousands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7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of Korean</w:t>
            </w:r>
          </w:p>
        </w:tc>
        <w:tc>
          <w:tcPr>
            <w:tcW w:w="0" w:type="dxa"/>
            <w:vAlign w:val="bottom"/>
          </w:tcPr>
          <w:p>
            <w:pPr>
              <w:spacing w:after="0"/>
              <w:rPr>
                <w:sz w:val="1"/>
                <w:szCs w:val="1"/>
                <w:color w:val="auto"/>
              </w:rPr>
            </w:pPr>
          </w:p>
        </w:tc>
      </w:tr>
      <w:tr>
        <w:trPr>
          <w:trHeight w:val="238"/>
        </w:trPr>
        <w:tc>
          <w:tcPr>
            <w:tcW w:w="27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won)</w:t>
            </w:r>
          </w:p>
        </w:tc>
        <w:tc>
          <w:tcPr>
            <w:tcW w:w="0" w:type="dxa"/>
            <w:vAlign w:val="bottom"/>
          </w:tcPr>
          <w:p>
            <w:pPr>
              <w:spacing w:after="0"/>
              <w:rPr>
                <w:sz w:val="1"/>
                <w:szCs w:val="1"/>
                <w:color w:val="auto"/>
              </w:rPr>
            </w:pPr>
          </w:p>
        </w:tc>
      </w:tr>
      <w:tr>
        <w:trPr>
          <w:trHeight w:val="216"/>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lease expenses</w:t>
            </w:r>
          </w:p>
        </w:tc>
        <w:tc>
          <w:tcPr>
            <w:tcW w:w="8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47,086</w:t>
            </w:r>
          </w:p>
        </w:tc>
        <w:tc>
          <w:tcPr>
            <w:tcW w:w="0" w:type="dxa"/>
            <w:vAlign w:val="bottom"/>
          </w:tcPr>
          <w:p>
            <w:pPr>
              <w:spacing w:after="0"/>
              <w:rPr>
                <w:sz w:val="1"/>
                <w:szCs w:val="1"/>
                <w:color w:val="auto"/>
              </w:rPr>
            </w:pPr>
          </w:p>
        </w:tc>
      </w:tr>
      <w:tr>
        <w:trPr>
          <w:trHeight w:val="216"/>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Low-value asset lease expenses</w:t>
            </w:r>
          </w:p>
        </w:tc>
        <w:tc>
          <w:tcPr>
            <w:tcW w:w="8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22,532</w:t>
            </w:r>
          </w:p>
        </w:tc>
        <w:tc>
          <w:tcPr>
            <w:tcW w:w="0" w:type="dxa"/>
            <w:vAlign w:val="bottom"/>
          </w:tcPr>
          <w:p>
            <w:pPr>
              <w:spacing w:after="0"/>
              <w:rPr>
                <w:sz w:val="1"/>
                <w:szCs w:val="1"/>
                <w:color w:val="auto"/>
              </w:rPr>
            </w:pPr>
          </w:p>
        </w:tc>
      </w:tr>
      <w:tr>
        <w:trPr>
          <w:trHeight w:val="223"/>
        </w:trPr>
        <w:tc>
          <w:tcPr>
            <w:tcW w:w="2780" w:type="dxa"/>
            <w:vAlign w:val="bottom"/>
            <w:tcBorders>
              <w:top w:val="single" w:sz="8" w:color="CCEEFF"/>
              <w:bottom w:val="single" w:sz="8" w:color="CCEEFF"/>
            </w:tcBorders>
            <w:shd w:val="clear" w:color="auto" w:fill="CCEEFF"/>
          </w:tcPr>
          <w:p>
            <w:pPr>
              <w:spacing w:after="0"/>
              <w:rPr>
                <w:sz w:val="19"/>
                <w:szCs w:val="19"/>
                <w:color w:val="auto"/>
              </w:rPr>
            </w:pPr>
          </w:p>
        </w:tc>
        <w:tc>
          <w:tcPr>
            <w:tcW w:w="800" w:type="dxa"/>
            <w:vAlign w:val="bottom"/>
            <w:tcBorders>
              <w:top w:val="single" w:sz="8" w:color="CCEEFF"/>
              <w:bottom w:val="single" w:sz="8" w:color="CCEEFF"/>
            </w:tcBorders>
            <w:shd w:val="clear" w:color="auto" w:fill="CCEEFF"/>
          </w:tcPr>
          <w:p>
            <w:pPr>
              <w:spacing w:after="0"/>
              <w:rPr>
                <w:sz w:val="19"/>
                <w:szCs w:val="19"/>
                <w:color w:val="auto"/>
              </w:rPr>
            </w:pPr>
          </w:p>
        </w:tc>
        <w:tc>
          <w:tcPr>
            <w:tcW w:w="90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60" w:type="dxa"/>
            <w:vAlign w:val="bottom"/>
            <w:tcBorders>
              <w:top w:val="single" w:sz="8" w:color="CCEEFF"/>
              <w:bottom w:val="single" w:sz="8" w:color="CCEEFF"/>
            </w:tcBorders>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Total</w:t>
            </w:r>
          </w:p>
        </w:tc>
        <w:tc>
          <w:tcPr>
            <w:tcW w:w="8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9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9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880" w:type="dxa"/>
            <w:vAlign w:val="bottom"/>
            <w:tcBorders>
              <w:top w:val="single" w:sz="8" w:color="CCEEFF"/>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69,618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E.</w:t>
      </w:r>
      <w:r>
        <w:rPr>
          <w:sz w:val="20"/>
          <w:szCs w:val="20"/>
          <w:color w:val="auto"/>
        </w:rPr>
        <w:tab/>
      </w:r>
      <w:r>
        <w:rPr>
          <w:rFonts w:ascii="Times New Roman" w:cs="Times New Roman" w:eastAsia="Times New Roman" w:hAnsi="Times New Roman"/>
          <w:sz w:val="17"/>
          <w:szCs w:val="17"/>
          <w:b w:val="1"/>
          <w:bCs w:val="1"/>
          <w:color w:val="auto"/>
        </w:rPr>
        <w:t>Cash outflows for leases</w:t>
      </w:r>
    </w:p>
    <w:p>
      <w:pPr>
        <w:sectPr>
          <w:pgSz w:w="11900" w:h="16838" w:orient="portrait"/>
          <w:cols w:equalWidth="0" w:num="1">
            <w:col w:w="11240"/>
          </w:cols>
          <w:pgMar w:left="320" w:top="765" w:right="339" w:bottom="1440" w:gutter="0" w:footer="0" w:header="0"/>
        </w:sect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cash outflows related to leases for the year ended December 31, 2025 are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Lease payments – buildings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Lease payments – vehicles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Interest paid on lease liabilities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Short-term lease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Low-value asset lease expenses</w:t>
      </w:r>
    </w:p>
    <w:p>
      <w:pPr>
        <w:spacing w:after="0" w:line="9" w:lineRule="exact"/>
        <w:rPr>
          <w:sz w:val="20"/>
          <w:szCs w:val="20"/>
          <w:color w:val="auto"/>
        </w:rPr>
      </w:pPr>
    </w:p>
    <w:p>
      <w:pPr>
        <w:jc w:val="center"/>
        <w:ind w:left="799"/>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59"/>
        <w:spacing w:after="0"/>
        <w:rPr>
          <w:sz w:val="20"/>
          <w:szCs w:val="20"/>
          <w:color w:val="auto"/>
        </w:rPr>
      </w:pPr>
      <w:r>
        <w:rPr>
          <w:rFonts w:ascii="Times New Roman" w:cs="Times New Roman" w:eastAsia="Times New Roman" w:hAnsi="Times New Roman"/>
          <w:sz w:val="18"/>
          <w:szCs w:val="18"/>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180340</wp:posOffset>
            </wp:positionH>
            <wp:positionV relativeFrom="paragraph">
              <wp:posOffset>19685</wp:posOffset>
            </wp:positionV>
            <wp:extent cx="70294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02945" cy="8255"/>
                    </a:xfrm>
                    <a:prstGeom prst="rect">
                      <a:avLst/>
                    </a:prstGeom>
                    <a:noFill/>
                  </pic:spPr>
                </pic:pic>
              </a:graphicData>
            </a:graphic>
          </wp:anchor>
        </w:drawing>
      </w:r>
    </w:p>
    <w:p>
      <w:pPr>
        <w:spacing w:after="0" w:line="11" w:lineRule="exact"/>
        <w:rPr>
          <w:sz w:val="20"/>
          <w:szCs w:val="20"/>
          <w:color w:val="auto"/>
        </w:rPr>
      </w:pPr>
    </w:p>
    <w:p>
      <w:pPr>
        <w:ind w:left="3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3" w:lineRule="exact"/>
        <w:rPr>
          <w:sz w:val="20"/>
          <w:szCs w:val="20"/>
          <w:color w:val="auto"/>
        </w:rPr>
      </w:pPr>
    </w:p>
    <w:p>
      <w:pPr>
        <w:jc w:val="center"/>
        <w:ind w:right="-178"/>
        <w:spacing w:after="0"/>
        <w:rPr>
          <w:sz w:val="20"/>
          <w:szCs w:val="20"/>
          <w:color w:val="auto"/>
        </w:rPr>
      </w:pPr>
      <w:r>
        <w:rPr>
          <w:rFonts w:ascii="Times New Roman" w:cs="Times New Roman" w:eastAsia="Times New Roman" w:hAnsi="Times New Roman"/>
          <w:sz w:val="18"/>
          <w:szCs w:val="18"/>
          <w:b w:val="1"/>
          <w:bCs w:val="1"/>
          <w:color w:val="auto"/>
        </w:rPr>
        <w:t>of Korean</w:t>
      </w:r>
    </w:p>
    <w:p>
      <w:pPr>
        <w:spacing w:after="0" w:line="9" w:lineRule="exact"/>
        <w:rPr>
          <w:sz w:val="20"/>
          <w:szCs w:val="20"/>
          <w:color w:val="auto"/>
        </w:rPr>
      </w:pPr>
    </w:p>
    <w:p>
      <w:pPr>
        <w:jc w:val="center"/>
        <w:ind w:right="-178"/>
        <w:spacing w:after="0"/>
        <w:rPr>
          <w:sz w:val="20"/>
          <w:szCs w:val="20"/>
          <w:color w:val="auto"/>
        </w:rPr>
      </w:pPr>
      <w:r>
        <w:rPr>
          <w:rFonts w:ascii="Times New Roman" w:cs="Times New Roman" w:eastAsia="Times New Roman" w:hAnsi="Times New Roman"/>
          <w:sz w:val="18"/>
          <w:szCs w:val="18"/>
          <w:b w:val="1"/>
          <w:bCs w:val="1"/>
          <w:color w:val="auto"/>
        </w:rPr>
        <w:t>won)</w:t>
      </w:r>
    </w:p>
    <w:p>
      <w:pPr>
        <w:spacing w:after="0" w:line="4" w:lineRule="exact"/>
        <w:rPr>
          <w:sz w:val="20"/>
          <w:szCs w:val="20"/>
          <w:color w:val="auto"/>
        </w:rPr>
      </w:pPr>
    </w:p>
    <w:p>
      <w:pPr>
        <w:ind w:left="799" w:hanging="799"/>
        <w:spacing w:after="0"/>
        <w:tabs>
          <w:tab w:leader="none" w:pos="799" w:val="left"/>
        </w:tabs>
        <w:numPr>
          <w:ilvl w:val="0"/>
          <w:numId w:val="59"/>
        </w:numPr>
        <w:rPr>
          <w:rFonts w:ascii="Arial" w:cs="Arial" w:eastAsia="Arial" w:hAnsi="Arial"/>
          <w:sz w:val="18"/>
          <w:szCs w:val="18"/>
          <w:color w:val="auto"/>
        </w:rPr>
      </w:pPr>
      <w:r>
        <w:rPr>
          <w:rFonts w:ascii="Times New Roman" w:cs="Times New Roman" w:eastAsia="Times New Roman" w:hAnsi="Times New Roman"/>
          <w:sz w:val="18"/>
          <w:szCs w:val="18"/>
          <w:color w:val="auto"/>
        </w:rPr>
        <w:t>806,425</w:t>
      </w:r>
    </w:p>
    <w:p>
      <w:pPr>
        <w:spacing w:after="0" w:line="14" w:lineRule="exact"/>
        <w:rPr>
          <w:rFonts w:ascii="Arial" w:cs="Arial" w:eastAsia="Arial" w:hAnsi="Arial"/>
          <w:sz w:val="18"/>
          <w:szCs w:val="18"/>
          <w:color w:val="auto"/>
        </w:rPr>
      </w:pPr>
    </w:p>
    <w:p>
      <w:pPr>
        <w:ind w:left="899"/>
        <w:spacing w:after="0"/>
        <w:rPr>
          <w:rFonts w:ascii="Arial" w:cs="Arial" w:eastAsia="Arial" w:hAnsi="Arial"/>
          <w:sz w:val="18"/>
          <w:szCs w:val="18"/>
          <w:color w:val="auto"/>
        </w:rPr>
      </w:pPr>
      <w:r>
        <w:rPr>
          <w:rFonts w:ascii="Times New Roman" w:cs="Times New Roman" w:eastAsia="Times New Roman" w:hAnsi="Times New Roman"/>
          <w:sz w:val="18"/>
          <w:szCs w:val="18"/>
          <w:color w:val="auto"/>
        </w:rPr>
        <w:t>35,696</w:t>
      </w:r>
    </w:p>
    <w:p>
      <w:pPr>
        <w:spacing w:after="0" w:line="7" w:lineRule="exact"/>
        <w:rPr>
          <w:rFonts w:ascii="Arial" w:cs="Arial" w:eastAsia="Arial" w:hAnsi="Arial"/>
          <w:sz w:val="18"/>
          <w:szCs w:val="18"/>
          <w:color w:val="auto"/>
        </w:rPr>
      </w:pPr>
    </w:p>
    <w:p>
      <w:pPr>
        <w:ind w:left="899"/>
        <w:spacing w:after="0"/>
        <w:rPr>
          <w:rFonts w:ascii="Arial" w:cs="Arial" w:eastAsia="Arial" w:hAnsi="Arial"/>
          <w:sz w:val="18"/>
          <w:szCs w:val="18"/>
          <w:color w:val="auto"/>
        </w:rPr>
      </w:pPr>
      <w:r>
        <w:rPr>
          <w:rFonts w:ascii="Times New Roman" w:cs="Times New Roman" w:eastAsia="Times New Roman" w:hAnsi="Times New Roman"/>
          <w:sz w:val="18"/>
          <w:szCs w:val="18"/>
          <w:color w:val="auto"/>
        </w:rPr>
        <w:t>52,377</w:t>
      </w:r>
    </w:p>
    <w:p>
      <w:pPr>
        <w:spacing w:after="0" w:line="9" w:lineRule="exact"/>
        <w:rPr>
          <w:rFonts w:ascii="Arial" w:cs="Arial" w:eastAsia="Arial" w:hAnsi="Arial"/>
          <w:sz w:val="18"/>
          <w:szCs w:val="18"/>
          <w:color w:val="auto"/>
        </w:rPr>
      </w:pPr>
    </w:p>
    <w:p>
      <w:pPr>
        <w:ind w:left="899"/>
        <w:spacing w:after="0"/>
        <w:rPr>
          <w:rFonts w:ascii="Arial" w:cs="Arial" w:eastAsia="Arial" w:hAnsi="Arial"/>
          <w:sz w:val="18"/>
          <w:szCs w:val="18"/>
          <w:color w:val="auto"/>
        </w:rPr>
      </w:pPr>
      <w:r>
        <w:rPr>
          <w:rFonts w:ascii="Times New Roman" w:cs="Times New Roman" w:eastAsia="Times New Roman" w:hAnsi="Times New Roman"/>
          <w:sz w:val="18"/>
          <w:szCs w:val="18"/>
          <w:color w:val="auto"/>
        </w:rPr>
        <w:t>47,086</w:t>
      </w:r>
    </w:p>
    <w:p>
      <w:pPr>
        <w:spacing w:after="0" w:line="9" w:lineRule="exact"/>
        <w:rPr>
          <w:rFonts w:ascii="Arial" w:cs="Arial" w:eastAsia="Arial" w:hAnsi="Arial"/>
          <w:sz w:val="18"/>
          <w:szCs w:val="18"/>
          <w:color w:val="auto"/>
        </w:rPr>
      </w:pPr>
    </w:p>
    <w:p>
      <w:pPr>
        <w:ind w:left="899"/>
        <w:spacing w:after="0"/>
        <w:rPr>
          <w:rFonts w:ascii="Arial" w:cs="Arial" w:eastAsia="Arial" w:hAnsi="Arial"/>
          <w:sz w:val="18"/>
          <w:szCs w:val="18"/>
          <w:color w:val="auto"/>
        </w:rPr>
      </w:pPr>
      <w:r>
        <w:rPr>
          <w:rFonts w:ascii="Times New Roman" w:cs="Times New Roman" w:eastAsia="Times New Roman" w:hAnsi="Times New Roman"/>
          <w:sz w:val="18"/>
          <w:szCs w:val="18"/>
          <w:color w:val="auto"/>
        </w:rPr>
        <w:t>22,532</w:t>
      </w:r>
    </w:p>
    <w:p>
      <w:pPr>
        <w:spacing w:after="0" w:line="17" w:lineRule="exact"/>
        <w:rPr>
          <w:rFonts w:ascii="Arial" w:cs="Arial" w:eastAsia="Arial" w:hAnsi="Arial"/>
          <w:sz w:val="18"/>
          <w:szCs w:val="18"/>
          <w:color w:val="auto"/>
        </w:rPr>
      </w:pPr>
    </w:p>
    <w:p>
      <w:pPr>
        <w:ind w:left="819" w:hanging="819"/>
        <w:spacing w:after="0"/>
        <w:tabs>
          <w:tab w:leader="none" w:pos="819" w:val="left"/>
        </w:tabs>
        <w:numPr>
          <w:ilvl w:val="0"/>
          <w:numId w:val="59"/>
        </w:numPr>
        <w:rPr>
          <w:rFonts w:ascii="Arial" w:cs="Arial" w:eastAsia="Arial" w:hAnsi="Arial"/>
          <w:sz w:val="17"/>
          <w:szCs w:val="17"/>
          <w:color w:val="auto"/>
        </w:rPr>
      </w:pPr>
      <w:r>
        <w:rPr>
          <w:rFonts w:ascii="Times New Roman" w:cs="Times New Roman" w:eastAsia="Times New Roman" w:hAnsi="Times New Roman"/>
          <w:sz w:val="17"/>
          <w:szCs w:val="17"/>
          <w:color w:val="auto"/>
        </w:rPr>
        <w:t>964,116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180340</wp:posOffset>
            </wp:positionH>
            <wp:positionV relativeFrom="paragraph">
              <wp:posOffset>24130</wp:posOffset>
            </wp:positionV>
            <wp:extent cx="70294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02945" cy="8890"/>
                    </a:xfrm>
                    <a:prstGeom prst="rect">
                      <a:avLst/>
                    </a:prstGeom>
                    <a:noFill/>
                  </pic:spPr>
                </pic:pic>
              </a:graphicData>
            </a:graphic>
          </wp:anchor>
        </w:drawing>
        <w:drawing>
          <wp:anchor simplePos="0" relativeHeight="251657728" behindDoc="1" locked="0" layoutInCell="0" allowOverlap="1">
            <wp:simplePos x="0" y="0"/>
            <wp:positionH relativeFrom="column">
              <wp:posOffset>180340</wp:posOffset>
            </wp:positionH>
            <wp:positionV relativeFrom="paragraph">
              <wp:posOffset>41275</wp:posOffset>
            </wp:positionV>
            <wp:extent cx="70294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02945" cy="8890"/>
                    </a:xfrm>
                    <a:prstGeom prst="rect">
                      <a:avLst/>
                    </a:prstGeom>
                    <a:noFill/>
                  </pic:spPr>
                </pic:pic>
              </a:graphicData>
            </a:graphic>
          </wp:anchor>
        </w:drawing>
        <w:drawing>
          <wp:anchor simplePos="0" relativeHeight="251657728" behindDoc="1" locked="0" layoutInCell="0" allowOverlap="1">
            <wp:simplePos x="0" y="0"/>
            <wp:positionH relativeFrom="column">
              <wp:posOffset>180340</wp:posOffset>
            </wp:positionH>
            <wp:positionV relativeFrom="paragraph">
              <wp:posOffset>-129540</wp:posOffset>
            </wp:positionV>
            <wp:extent cx="70294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02945" cy="8890"/>
                    </a:xfrm>
                    <a:prstGeom prst="rect">
                      <a:avLst/>
                    </a:prstGeom>
                    <a:noFill/>
                  </pic:spPr>
                </pic:pic>
              </a:graphicData>
            </a:graphic>
          </wp:anchor>
        </w:drawing>
      </w:r>
    </w:p>
    <w:p>
      <w:pPr>
        <w:spacing w:after="0" w:line="202" w:lineRule="exact"/>
        <w:rPr>
          <w:sz w:val="20"/>
          <w:szCs w:val="20"/>
          <w:color w:val="auto"/>
        </w:rPr>
      </w:pPr>
    </w:p>
    <w:p>
      <w:pPr>
        <w:sectPr>
          <w:pgSz w:w="11900" w:h="16838" w:orient="portrait"/>
          <w:cols w:equalWidth="0" w:num="2">
            <w:col w:w="9021" w:space="720"/>
            <w:col w:w="1499"/>
          </w:cols>
          <w:pgMar w:left="320" w:top="765" w:right="339" w:bottom="1440" w:gutter="0" w:footer="0" w:header="0"/>
          <w:type w:val="continuous"/>
        </w:sectPr>
      </w:pP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34" w:name="page35"/>
    <w:bookmarkEnd w:id="34"/>
    <w:p>
      <w:pPr>
        <w:jc w:val="center"/>
        <w:spacing w:after="0"/>
        <w:rPr>
          <w:sz w:val="20"/>
          <w:szCs w:val="20"/>
          <w:color w:val="auto"/>
        </w:rPr>
      </w:pPr>
      <w:r>
        <w:rPr>
          <w:rFonts w:ascii="Times New Roman" w:cs="Times New Roman" w:eastAsia="Times New Roman" w:hAnsi="Times New Roman"/>
          <w:sz w:val="18"/>
          <w:szCs w:val="18"/>
          <w:b w:val="1"/>
          <w:bCs w:val="1"/>
          <w:color w:val="auto"/>
        </w:rPr>
        <w:t>HANSOL INTICUBE CO.,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ind w:right="8740" w:firstLine="8"/>
        <w:spacing w:after="0" w:line="503" w:lineRule="auto"/>
        <w:tabs>
          <w:tab w:leader="none" w:pos="270"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Defined Benefit Liability A. Defined Benefit Plan</w:t>
      </w:r>
    </w:p>
    <w:p>
      <w:pPr>
        <w:jc w:val="both"/>
        <w:spacing w:after="0" w:line="266" w:lineRule="auto"/>
        <w:rPr>
          <w:sz w:val="20"/>
          <w:szCs w:val="20"/>
          <w:color w:val="auto"/>
        </w:rPr>
      </w:pPr>
      <w:r>
        <w:rPr>
          <w:rFonts w:ascii="Times New Roman" w:cs="Times New Roman" w:eastAsia="Times New Roman" w:hAnsi="Times New Roman"/>
          <w:sz w:val="18"/>
          <w:szCs w:val="18"/>
          <w:color w:val="auto"/>
        </w:rPr>
        <w:t>The Group operates a defined benefit retirement plan for employees who meet certain eligibility requirements. Under this plan, employees receive a lump-sum payment at the time of retirement based on the average salary of the final three months and the length of service provided. The Group is exposed to investment risk, interest rate risk, and salary risk under this plan.</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most recent actuarial valuation of the defined benefit obligation was performed by an external actuary in January 2026. The present value of the defined benefit obligation, together with the related current service cost and past service cost, has been measured using the projected unit credit method.</w:t>
      </w:r>
    </w:p>
    <w:p>
      <w:pPr>
        <w:spacing w:after="0" w:line="162" w:lineRule="exact"/>
        <w:rPr>
          <w:sz w:val="20"/>
          <w:szCs w:val="20"/>
          <w:color w:val="auto"/>
        </w:rPr>
      </w:pPr>
    </w:p>
    <w:p>
      <w:pPr>
        <w:ind w:left="660" w:hanging="328"/>
        <w:spacing w:after="0"/>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actuarial assumptions used as of December 31, 2025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980" w:type="dxa"/>
            <w:vAlign w:val="bottom"/>
          </w:tcPr>
          <w:p>
            <w:pPr>
              <w:spacing w:after="0"/>
              <w:rPr>
                <w:sz w:val="18"/>
                <w:szCs w:val="18"/>
                <w:color w:val="auto"/>
              </w:rPr>
            </w:pPr>
          </w:p>
        </w:tc>
        <w:tc>
          <w:tcPr>
            <w:tcW w:w="12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8"/>
        </w:trPr>
        <w:tc>
          <w:tcPr>
            <w:tcW w:w="998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Borders>
              <w:bottom w:val="single" w:sz="8" w:color="CCEEFF"/>
            </w:tcBorders>
          </w:tcPr>
          <w:p>
            <w:pPr>
              <w:spacing w:after="0"/>
              <w:rPr>
                <w:sz w:val="20"/>
                <w:szCs w:val="20"/>
                <w:color w:val="auto"/>
              </w:rPr>
            </w:pPr>
          </w:p>
        </w:tc>
      </w:tr>
      <w:tr>
        <w:trPr>
          <w:trHeight w:val="209"/>
        </w:trPr>
        <w:tc>
          <w:tcPr>
            <w:tcW w:w="9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Discount rate</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3.39 ~ 4.49%</w:t>
            </w:r>
          </w:p>
        </w:tc>
      </w:tr>
      <w:tr>
        <w:trPr>
          <w:trHeight w:val="234"/>
        </w:trPr>
        <w:tc>
          <w:tcPr>
            <w:tcW w:w="9980" w:type="dxa"/>
            <w:vAlign w:val="bottom"/>
          </w:tcPr>
          <w:p>
            <w:pPr>
              <w:spacing w:after="0"/>
              <w:rPr>
                <w:sz w:val="20"/>
                <w:szCs w:val="20"/>
                <w:color w:val="auto"/>
              </w:rPr>
            </w:pPr>
            <w:r>
              <w:rPr>
                <w:rFonts w:ascii="Times New Roman" w:cs="Times New Roman" w:eastAsia="Times New Roman" w:hAnsi="Times New Roman"/>
                <w:sz w:val="18"/>
                <w:szCs w:val="18"/>
                <w:color w:val="auto"/>
              </w:rPr>
              <w:t>Expected salary increase rate</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4.57 ~ 5.00%</w:t>
            </w:r>
          </w:p>
        </w:tc>
      </w:tr>
    </w:tbl>
    <w:p>
      <w:pPr>
        <w:spacing w:after="0" w:line="179" w:lineRule="exact"/>
        <w:rPr>
          <w:sz w:val="20"/>
          <w:szCs w:val="20"/>
          <w:color w:val="auto"/>
        </w:rPr>
      </w:pPr>
    </w:p>
    <w:p>
      <w:pPr>
        <w:ind w:left="660" w:hanging="328"/>
        <w:spacing w:after="0" w:line="282" w:lineRule="auto"/>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components recognized in the consolidated statement of financial position arising from the Group’s obligations in relation to the defined benefit retirement plan as of December 31, 2025 are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00" w:type="dxa"/>
            <w:vAlign w:val="bottom"/>
          </w:tcPr>
          <w:p>
            <w:pPr>
              <w:spacing w:after="0"/>
              <w:rPr>
                <w:sz w:val="18"/>
                <w:szCs w:val="18"/>
                <w:color w:val="auto"/>
              </w:rPr>
            </w:pPr>
          </w:p>
        </w:tc>
        <w:tc>
          <w:tcPr>
            <w:tcW w:w="57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38"/>
        </w:trPr>
        <w:tc>
          <w:tcPr>
            <w:tcW w:w="4300" w:type="dxa"/>
            <w:vAlign w:val="bottom"/>
          </w:tcPr>
          <w:p>
            <w:pPr>
              <w:spacing w:after="0"/>
              <w:rPr>
                <w:sz w:val="20"/>
                <w:szCs w:val="20"/>
                <w:color w:val="auto"/>
              </w:rPr>
            </w:pPr>
          </w:p>
        </w:tc>
        <w:tc>
          <w:tcPr>
            <w:tcW w:w="572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4300" w:type="dxa"/>
            <w:vAlign w:val="bottom"/>
          </w:tcPr>
          <w:p>
            <w:pPr>
              <w:spacing w:after="0"/>
              <w:rPr>
                <w:sz w:val="16"/>
                <w:szCs w:val="16"/>
                <w:color w:val="auto"/>
              </w:rPr>
            </w:pPr>
          </w:p>
        </w:tc>
        <w:tc>
          <w:tcPr>
            <w:tcW w:w="5720" w:type="dxa"/>
            <w:vAlign w:val="bottom"/>
          </w:tcPr>
          <w:p>
            <w:pPr>
              <w:spacing w:after="0"/>
              <w:rPr>
                <w:sz w:val="16"/>
                <w:szCs w:val="16"/>
                <w:color w:val="auto"/>
              </w:rPr>
            </w:pPr>
          </w:p>
        </w:tc>
        <w:tc>
          <w:tcPr>
            <w:tcW w:w="112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8"/>
              </w:rPr>
              <w:t>(In thousands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300" w:type="dxa"/>
            <w:vAlign w:val="bottom"/>
          </w:tcPr>
          <w:p>
            <w:pPr>
              <w:spacing w:after="0"/>
              <w:rPr>
                <w:sz w:val="18"/>
                <w:szCs w:val="18"/>
                <w:color w:val="auto"/>
              </w:rPr>
            </w:pPr>
          </w:p>
        </w:tc>
        <w:tc>
          <w:tcPr>
            <w:tcW w:w="57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of Korean</w:t>
            </w:r>
          </w:p>
        </w:tc>
        <w:tc>
          <w:tcPr>
            <w:tcW w:w="0" w:type="dxa"/>
            <w:vAlign w:val="bottom"/>
          </w:tcPr>
          <w:p>
            <w:pPr>
              <w:spacing w:after="0"/>
              <w:rPr>
                <w:sz w:val="1"/>
                <w:szCs w:val="1"/>
                <w:color w:val="auto"/>
              </w:rPr>
            </w:pPr>
          </w:p>
        </w:tc>
      </w:tr>
      <w:tr>
        <w:trPr>
          <w:trHeight w:val="238"/>
        </w:trPr>
        <w:tc>
          <w:tcPr>
            <w:tcW w:w="4300" w:type="dxa"/>
            <w:vAlign w:val="bottom"/>
          </w:tcPr>
          <w:p>
            <w:pPr>
              <w:spacing w:after="0"/>
              <w:rPr>
                <w:sz w:val="20"/>
                <w:szCs w:val="20"/>
                <w:color w:val="auto"/>
              </w:rPr>
            </w:pPr>
          </w:p>
        </w:tc>
        <w:tc>
          <w:tcPr>
            <w:tcW w:w="5720" w:type="dxa"/>
            <w:vAlign w:val="bottom"/>
          </w:tcPr>
          <w:p>
            <w:pPr>
              <w:spacing w:after="0"/>
              <w:rPr>
                <w:sz w:val="20"/>
                <w:szCs w:val="20"/>
                <w:color w:val="auto"/>
              </w:rPr>
            </w:pP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won)</w:t>
            </w: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Present value of defined benefit obligation</w:t>
            </w:r>
          </w:p>
        </w:tc>
        <w:tc>
          <w:tcPr>
            <w:tcW w:w="5720" w:type="dxa"/>
            <w:vAlign w:val="bottom"/>
            <w:shd w:val="clear" w:color="auto" w:fill="CCEEFF"/>
          </w:tcPr>
          <w:p>
            <w:pPr>
              <w:ind w:left="54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12,065,236</w:t>
            </w: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Fair value of plan assets</w:t>
            </w:r>
          </w:p>
        </w:tc>
        <w:tc>
          <w:tcPr>
            <w:tcW w:w="572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(11,209,013)</w:t>
            </w: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National pension conversion fund</w:t>
            </w:r>
          </w:p>
        </w:tc>
        <w:tc>
          <w:tcPr>
            <w:tcW w:w="57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(1,389)</w:t>
            </w:r>
          </w:p>
        </w:tc>
        <w:tc>
          <w:tcPr>
            <w:tcW w:w="0" w:type="dxa"/>
            <w:vAlign w:val="bottom"/>
          </w:tcPr>
          <w:p>
            <w:pPr>
              <w:spacing w:after="0"/>
              <w:rPr>
                <w:sz w:val="1"/>
                <w:szCs w:val="1"/>
                <w:color w:val="auto"/>
              </w:rPr>
            </w:pPr>
          </w:p>
        </w:tc>
      </w:tr>
      <w:tr>
        <w:trPr>
          <w:trHeight w:val="223"/>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Net defined benefit liability</w:t>
            </w:r>
          </w:p>
        </w:tc>
        <w:tc>
          <w:tcPr>
            <w:tcW w:w="5720" w:type="dxa"/>
            <w:vAlign w:val="bottom"/>
          </w:tcPr>
          <w:p>
            <w:pPr>
              <w:ind w:left="544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854,834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5720" w:type="dxa"/>
            <w:vAlign w:val="bottom"/>
            <w:vMerge w:val="restart"/>
          </w:tcPr>
          <w:p>
            <w:pPr>
              <w:jc w:val="right"/>
              <w:ind w:right="4210"/>
              <w:spacing w:after="0"/>
              <w:rPr>
                <w:sz w:val="20"/>
                <w:szCs w:val="20"/>
                <w:color w:val="auto"/>
              </w:rPr>
            </w:pPr>
            <w:r>
              <w:rPr>
                <w:rFonts w:ascii="Times New Roman" w:cs="Times New Roman" w:eastAsia="Times New Roman" w:hAnsi="Times New Roman"/>
                <w:sz w:val="18"/>
                <w:szCs w:val="18"/>
                <w:color w:val="auto"/>
              </w:rPr>
              <w:t>32</w:t>
            </w: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1"/>
        </w:trPr>
        <w:tc>
          <w:tcPr>
            <w:tcW w:w="4300" w:type="dxa"/>
            <w:vAlign w:val="bottom"/>
            <w:tcBorders>
              <w:bottom w:val="single" w:sz="8" w:color="auto"/>
            </w:tcBorders>
          </w:tcPr>
          <w:p>
            <w:pPr>
              <w:spacing w:after="0"/>
              <w:rPr>
                <w:sz w:val="24"/>
                <w:szCs w:val="24"/>
                <w:color w:val="auto"/>
              </w:rPr>
            </w:pPr>
          </w:p>
        </w:tc>
        <w:tc>
          <w:tcPr>
            <w:tcW w:w="5720" w:type="dxa"/>
            <w:vAlign w:val="bottom"/>
            <w:tcBorders>
              <w:bottom w:val="single" w:sz="8" w:color="auto"/>
            </w:tcBorders>
            <w:vMerge w:val="continue"/>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65" w:right="33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8"/>
          <w:szCs w:val="18"/>
          <w:b w:val="1"/>
          <w:bCs w:val="1"/>
          <w:color w:val="auto"/>
        </w:rPr>
        <w:t>HANSOL INTICUBE CO.,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700" w:type="dxa"/>
            <w:vAlign w:val="bottom"/>
            <w:gridSpan w:val="6"/>
          </w:tcPr>
          <w:p>
            <w:pPr>
              <w:ind w:left="340"/>
              <w:spacing w:after="0"/>
              <w:rPr>
                <w:sz w:val="20"/>
                <w:szCs w:val="20"/>
                <w:color w:val="auto"/>
              </w:rPr>
            </w:pPr>
            <w:r>
              <w:rPr>
                <w:rFonts w:ascii="Times New Roman" w:cs="Times New Roman" w:eastAsia="Times New Roman" w:hAnsi="Times New Roman"/>
                <w:sz w:val="18"/>
                <w:szCs w:val="18"/>
                <w:color w:val="auto"/>
              </w:rPr>
              <w:t>iii.  Changes in the net defined benefit liability for the year ended December 31, 2025 are as follows:</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5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3"/>
          </w:tcPr>
          <w:p>
            <w:pPr>
              <w:jc w:val="right"/>
              <w:ind w:right="933"/>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55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320" w:type="dxa"/>
            <w:vAlign w:val="bottom"/>
            <w:gridSpan w:val="2"/>
          </w:tcPr>
          <w:p>
            <w:pPr>
              <w:jc w:val="center"/>
              <w:ind w:right="240"/>
              <w:spacing w:after="0" w:line="188" w:lineRule="exact"/>
              <w:rPr>
                <w:sz w:val="20"/>
                <w:szCs w:val="20"/>
                <w:color w:val="auto"/>
              </w:rPr>
            </w:pPr>
            <w:r>
              <w:rPr>
                <w:rFonts w:ascii="Times New Roman" w:cs="Times New Roman" w:eastAsia="Times New Roman" w:hAnsi="Times New Roman"/>
                <w:sz w:val="18"/>
                <w:szCs w:val="18"/>
                <w:b w:val="1"/>
                <w:bCs w:val="1"/>
                <w:color w:val="auto"/>
                <w:w w:val="99"/>
              </w:rPr>
              <w:t>Defined</w:t>
            </w: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tcPr>
          <w:p>
            <w:pPr>
              <w:jc w:val="center"/>
              <w:ind w:right="141"/>
              <w:spacing w:after="0" w:line="188" w:lineRule="exact"/>
              <w:rPr>
                <w:sz w:val="20"/>
                <w:szCs w:val="20"/>
                <w:color w:val="auto"/>
              </w:rPr>
            </w:pPr>
            <w:r>
              <w:rPr>
                <w:rFonts w:ascii="Times New Roman" w:cs="Times New Roman" w:eastAsia="Times New Roman" w:hAnsi="Times New Roman"/>
                <w:sz w:val="18"/>
                <w:szCs w:val="18"/>
                <w:b w:val="1"/>
                <w:bCs w:val="1"/>
                <w:color w:val="auto"/>
                <w:w w:val="99"/>
              </w:rPr>
              <w:t>National</w:t>
            </w:r>
          </w:p>
        </w:tc>
        <w:tc>
          <w:tcPr>
            <w:tcW w:w="112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Net Defined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Benefit</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121"/>
              <w:spacing w:after="0"/>
              <w:rPr>
                <w:sz w:val="20"/>
                <w:szCs w:val="20"/>
                <w:color w:val="auto"/>
              </w:rPr>
            </w:pPr>
            <w:r>
              <w:rPr>
                <w:rFonts w:ascii="Times New Roman" w:cs="Times New Roman" w:eastAsia="Times New Roman" w:hAnsi="Times New Roman"/>
                <w:sz w:val="18"/>
                <w:szCs w:val="18"/>
                <w:b w:val="1"/>
                <w:bCs w:val="1"/>
                <w:color w:val="auto"/>
                <w:w w:val="99"/>
              </w:rPr>
              <w:t>Pension</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Benefit</w:t>
            </w:r>
          </w:p>
        </w:tc>
        <w:tc>
          <w:tcPr>
            <w:tcW w:w="0" w:type="dxa"/>
            <w:vAlign w:val="bottom"/>
          </w:tcPr>
          <w:p>
            <w:pPr>
              <w:spacing w:after="0"/>
              <w:rPr>
                <w:sz w:val="1"/>
                <w:szCs w:val="1"/>
                <w:color w:val="auto"/>
              </w:rPr>
            </w:pPr>
          </w:p>
        </w:tc>
      </w:tr>
      <w:tr>
        <w:trPr>
          <w:trHeight w:val="238"/>
        </w:trPr>
        <w:tc>
          <w:tcPr>
            <w:tcW w:w="55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Obligation</w:t>
            </w:r>
          </w:p>
        </w:tc>
        <w:tc>
          <w:tcPr>
            <w:tcW w:w="13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b w:val="1"/>
                <w:bCs w:val="1"/>
                <w:color w:val="auto"/>
              </w:rPr>
              <w:t>Plan Assets</w:t>
            </w:r>
          </w:p>
        </w:tc>
        <w:tc>
          <w:tcPr>
            <w:tcW w:w="1320" w:type="dxa"/>
            <w:vAlign w:val="bottom"/>
            <w:gridSpan w:val="2"/>
          </w:tcPr>
          <w:p>
            <w:pPr>
              <w:jc w:val="center"/>
              <w:ind w:right="121"/>
              <w:spacing w:after="0"/>
              <w:rPr>
                <w:sz w:val="20"/>
                <w:szCs w:val="20"/>
                <w:color w:val="auto"/>
              </w:rPr>
            </w:pPr>
            <w:r>
              <w:rPr>
                <w:rFonts w:ascii="Times New Roman" w:cs="Times New Roman" w:eastAsia="Times New Roman" w:hAnsi="Times New Roman"/>
                <w:sz w:val="18"/>
                <w:szCs w:val="18"/>
                <w:b w:val="1"/>
                <w:bCs w:val="1"/>
                <w:color w:val="auto"/>
                <w:w w:val="99"/>
              </w:rPr>
              <w:t>Contributions</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Liability</w:t>
            </w:r>
          </w:p>
        </w:tc>
        <w:tc>
          <w:tcPr>
            <w:tcW w:w="0" w:type="dxa"/>
            <w:vAlign w:val="bottom"/>
          </w:tcPr>
          <w:p>
            <w:pPr>
              <w:spacing w:after="0"/>
              <w:rPr>
                <w:sz w:val="1"/>
                <w:szCs w:val="1"/>
                <w:color w:val="auto"/>
              </w:rPr>
            </w:pPr>
          </w:p>
        </w:tc>
      </w:tr>
      <w:tr>
        <w:trPr>
          <w:trHeight w:val="209"/>
        </w:trPr>
        <w:tc>
          <w:tcPr>
            <w:tcW w:w="5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640" w:type="dxa"/>
            <w:vAlign w:val="bottom"/>
            <w:tcBorders>
              <w:top w:val="single" w:sz="8" w:color="auto"/>
            </w:tcBorders>
            <w:gridSpan w:val="4"/>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w w:val="99"/>
              </w:rPr>
              <w:t>(In thousands of Korean won)</w:t>
            </w: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10,784,741</w:t>
            </w:r>
          </w:p>
        </w:tc>
        <w:tc>
          <w:tcPr>
            <w:tcW w:w="13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(10,065,703)</w:t>
            </w:r>
          </w:p>
        </w:tc>
        <w:tc>
          <w:tcPr>
            <w:tcW w:w="132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(1,389)</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717,649</w:t>
            </w: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Recognized in profit or loss:</w:t>
            </w:r>
          </w:p>
        </w:tc>
        <w:tc>
          <w:tcPr>
            <w:tcW w:w="48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service cost</w:t>
            </w:r>
          </w:p>
        </w:tc>
        <w:tc>
          <w:tcPr>
            <w:tcW w:w="4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1,263,382</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1,263,382</w:t>
            </w:r>
          </w:p>
        </w:tc>
        <w:tc>
          <w:tcPr>
            <w:tcW w:w="0" w:type="dxa"/>
            <w:vAlign w:val="bottom"/>
          </w:tcPr>
          <w:p>
            <w:pPr>
              <w:spacing w:after="0"/>
              <w:rPr>
                <w:sz w:val="1"/>
                <w:szCs w:val="1"/>
                <w:color w:val="auto"/>
              </w:rPr>
            </w:pPr>
          </w:p>
        </w:tc>
      </w:tr>
      <w:tr>
        <w:trPr>
          <w:trHeight w:val="216"/>
        </w:trPr>
        <w:tc>
          <w:tcPr>
            <w:tcW w:w="5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cost (interest income)</w:t>
            </w:r>
          </w:p>
        </w:tc>
        <w:tc>
          <w:tcPr>
            <w:tcW w:w="48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302,014</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(282,755)</w:t>
            </w:r>
          </w:p>
        </w:tc>
        <w:tc>
          <w:tcPr>
            <w:tcW w:w="132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19,259</w:t>
            </w:r>
          </w:p>
        </w:tc>
        <w:tc>
          <w:tcPr>
            <w:tcW w:w="0" w:type="dxa"/>
            <w:vAlign w:val="bottom"/>
          </w:tcPr>
          <w:p>
            <w:pPr>
              <w:spacing w:after="0"/>
              <w:rPr>
                <w:sz w:val="1"/>
                <w:szCs w:val="1"/>
                <w:color w:val="auto"/>
              </w:rPr>
            </w:pPr>
          </w:p>
        </w:tc>
      </w:tr>
      <w:tr>
        <w:trPr>
          <w:trHeight w:val="223"/>
        </w:trPr>
        <w:tc>
          <w:tcPr>
            <w:tcW w:w="55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Subtotal</w:t>
            </w:r>
          </w:p>
        </w:tc>
        <w:tc>
          <w:tcPr>
            <w:tcW w:w="48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1,565,396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(282,755</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bottom w:val="single" w:sz="8" w:color="auto"/>
            </w:tcBorders>
            <w:shd w:val="clear" w:color="auto" w:fill="CCEEFF"/>
          </w:tcPr>
          <w:p>
            <w:pPr>
              <w:ind w:left="1040"/>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1,282,641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8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Remeasurements recognized in other comprehensive income:</w:t>
            </w:r>
          </w:p>
        </w:tc>
        <w:tc>
          <w:tcPr>
            <w:tcW w:w="4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580" w:type="dxa"/>
            <w:vAlign w:val="bottom"/>
            <w:vMerge w:val="continue"/>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vMerge w:val="continue"/>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vMerge w:val="continue"/>
          </w:tcPr>
          <w:p>
            <w:pPr>
              <w:spacing w:after="0"/>
              <w:rPr>
                <w:sz w:val="17"/>
                <w:szCs w:val="17"/>
                <w:color w:val="auto"/>
              </w:rPr>
            </w:pPr>
          </w:p>
        </w:tc>
        <w:tc>
          <w:tcPr>
            <w:tcW w:w="1100" w:type="dxa"/>
            <w:vAlign w:val="bottom"/>
          </w:tcPr>
          <w:p>
            <w:pPr>
              <w:ind w:left="1040"/>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vMerge w:val="continue"/>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Return on plan assets (excluding amounts included in interest)</w:t>
            </w:r>
          </w:p>
        </w:tc>
        <w:tc>
          <w:tcPr>
            <w:tcW w:w="4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(66,272)</w:t>
            </w:r>
          </w:p>
        </w:tc>
        <w:tc>
          <w:tcPr>
            <w:tcW w:w="132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(66,272)</w:t>
            </w:r>
          </w:p>
        </w:tc>
        <w:tc>
          <w:tcPr>
            <w:tcW w:w="0" w:type="dxa"/>
            <w:vAlign w:val="bottom"/>
          </w:tcPr>
          <w:p>
            <w:pPr>
              <w:spacing w:after="0"/>
              <w:rPr>
                <w:sz w:val="1"/>
                <w:szCs w:val="1"/>
                <w:color w:val="auto"/>
              </w:rPr>
            </w:pPr>
          </w:p>
        </w:tc>
      </w:tr>
      <w:tr>
        <w:trPr>
          <w:trHeight w:val="216"/>
        </w:trPr>
        <w:tc>
          <w:tcPr>
            <w:tcW w:w="5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Actuarial gains and losses arising from changes in financial assumptions</w:t>
            </w:r>
          </w:p>
        </w:tc>
        <w:tc>
          <w:tcPr>
            <w:tcW w:w="48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129,360</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129,360</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Actuarial gains and losses arising from experience adjustments</w:t>
            </w:r>
          </w:p>
        </w:tc>
        <w:tc>
          <w:tcPr>
            <w:tcW w:w="4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367,178</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367,178</w:t>
            </w:r>
          </w:p>
        </w:tc>
        <w:tc>
          <w:tcPr>
            <w:tcW w:w="0" w:type="dxa"/>
            <w:vAlign w:val="bottom"/>
          </w:tcPr>
          <w:p>
            <w:pPr>
              <w:spacing w:after="0"/>
              <w:rPr>
                <w:sz w:val="1"/>
                <w:szCs w:val="1"/>
                <w:color w:val="auto"/>
              </w:rPr>
            </w:pPr>
          </w:p>
        </w:tc>
      </w:tr>
      <w:tr>
        <w:trPr>
          <w:trHeight w:val="263"/>
        </w:trPr>
        <w:tc>
          <w:tcPr>
            <w:tcW w:w="5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Subtotal</w:t>
            </w:r>
          </w:p>
        </w:tc>
        <w:tc>
          <w:tcPr>
            <w:tcW w:w="480" w:type="dxa"/>
            <w:vAlign w:val="bottom"/>
            <w:tcBorders>
              <w:bottom w:val="single" w:sz="8" w:color="CCEEFF"/>
            </w:tcBorders>
          </w:tcPr>
          <w:p>
            <w:pPr>
              <w:spacing w:after="0"/>
              <w:rPr>
                <w:sz w:val="22"/>
                <w:szCs w:val="22"/>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496,538</w:t>
            </w:r>
          </w:p>
        </w:tc>
        <w:tc>
          <w:tcPr>
            <w:tcW w:w="220" w:type="dxa"/>
            <w:vAlign w:val="bottom"/>
            <w:tcBorders>
              <w:bottom w:val="single" w:sz="8" w:color="CCEEFF"/>
            </w:tcBorders>
          </w:tcPr>
          <w:p>
            <w:pPr>
              <w:spacing w:after="0"/>
              <w:rPr>
                <w:sz w:val="22"/>
                <w:szCs w:val="22"/>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(66,272</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bottom w:val="single" w:sz="8" w:color="auto"/>
            </w:tcBorders>
          </w:tcPr>
          <w:p>
            <w:pPr>
              <w:ind w:left="1040"/>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bottom w:val="single" w:sz="8" w:color="CCEEFF"/>
            </w:tcBorders>
          </w:tcPr>
          <w:p>
            <w:pPr>
              <w:spacing w:after="0"/>
              <w:rPr>
                <w:sz w:val="22"/>
                <w:szCs w:val="22"/>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430,266</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558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Benefits paid:</w:t>
            </w:r>
          </w:p>
        </w:tc>
        <w:tc>
          <w:tcPr>
            <w:tcW w:w="4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Benefits paid</w:t>
            </w:r>
          </w:p>
        </w:tc>
        <w:tc>
          <w:tcPr>
            <w:tcW w:w="48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(786,227)</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1,105,717</w:t>
            </w:r>
          </w:p>
        </w:tc>
        <w:tc>
          <w:tcPr>
            <w:tcW w:w="132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319,490</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Transfers to/from related parties</w:t>
            </w:r>
          </w:p>
        </w:tc>
        <w:tc>
          <w:tcPr>
            <w:tcW w:w="4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4,788</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4,788</w:t>
            </w: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Contributions</w:t>
            </w:r>
          </w:p>
        </w:tc>
        <w:tc>
          <w:tcPr>
            <w:tcW w:w="48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(1,900,000)</w:t>
            </w:r>
          </w:p>
        </w:tc>
        <w:tc>
          <w:tcPr>
            <w:tcW w:w="132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(1,900,000)</w:t>
            </w:r>
          </w:p>
        </w:tc>
        <w:tc>
          <w:tcPr>
            <w:tcW w:w="0" w:type="dxa"/>
            <w:vAlign w:val="bottom"/>
          </w:tcPr>
          <w:p>
            <w:pPr>
              <w:spacing w:after="0"/>
              <w:rPr>
                <w:sz w:val="1"/>
                <w:szCs w:val="1"/>
                <w:color w:val="auto"/>
              </w:rPr>
            </w:pPr>
          </w:p>
        </w:tc>
      </w:tr>
      <w:tr>
        <w:trPr>
          <w:trHeight w:val="223"/>
        </w:trPr>
        <w:tc>
          <w:tcPr>
            <w:tcW w:w="55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480" w:type="dxa"/>
            <w:vAlign w:val="bottom"/>
            <w:tcBorders>
              <w:top w:val="single" w:sz="8" w:color="CCEEFF"/>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12,065,236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(11,209,013</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bottom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w w:val="94"/>
              </w:rPr>
              <w:t>(1,389</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854,834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Amounts recognized in profit or loss for the year ended December 31, 2025 are included in employee benefits expense in the statement of comprehensive income. Of the amount recognized during the year ended December 31, 2025, Korean won 684,209 thousand is included in cost of sales, with the remaining amount included in selling and administrative expenses.</w:t>
      </w:r>
    </w:p>
    <w:p>
      <w:pPr>
        <w:spacing w:after="0" w:line="176" w:lineRule="exact"/>
        <w:rPr>
          <w:sz w:val="20"/>
          <w:szCs w:val="20"/>
          <w:color w:val="auto"/>
        </w:rPr>
      </w:pPr>
    </w:p>
    <w:p>
      <w:pPr>
        <w:ind w:left="340"/>
        <w:spacing w:after="0"/>
        <w:tabs>
          <w:tab w:leader="none" w:pos="640" w:val="left"/>
        </w:tabs>
        <w:rPr>
          <w:sz w:val="20"/>
          <w:szCs w:val="20"/>
          <w:color w:val="auto"/>
        </w:rPr>
      </w:pPr>
      <w:r>
        <w:rPr>
          <w:rFonts w:ascii="Times New Roman" w:cs="Times New Roman" w:eastAsia="Times New Roman" w:hAnsi="Times New Roman"/>
          <w:sz w:val="18"/>
          <w:szCs w:val="18"/>
          <w:color w:val="auto"/>
        </w:rPr>
        <w:t>iv.</w:t>
      </w:r>
      <w:r>
        <w:rPr>
          <w:sz w:val="20"/>
          <w:szCs w:val="20"/>
          <w:color w:val="auto"/>
        </w:rPr>
        <w:tab/>
      </w:r>
      <w:r>
        <w:rPr>
          <w:rFonts w:ascii="Times New Roman" w:cs="Times New Roman" w:eastAsia="Times New Roman" w:hAnsi="Times New Roman"/>
          <w:sz w:val="17"/>
          <w:szCs w:val="17"/>
          <w:color w:val="auto"/>
        </w:rPr>
        <w:t>The components of the fair value of plan assets as of December 31, 2025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8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8"/>
        </w:trPr>
        <w:tc>
          <w:tcPr>
            <w:tcW w:w="578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20"/>
                <w:szCs w:val="20"/>
                <w:color w:val="auto"/>
              </w:rPr>
            </w:pPr>
          </w:p>
        </w:tc>
      </w:tr>
      <w:tr>
        <w:trPr>
          <w:trHeight w:val="187"/>
        </w:trPr>
        <w:tc>
          <w:tcPr>
            <w:tcW w:w="5780" w:type="dxa"/>
            <w:vAlign w:val="bottom"/>
          </w:tcPr>
          <w:p>
            <w:pPr>
              <w:spacing w:after="0"/>
              <w:rPr>
                <w:sz w:val="16"/>
                <w:szCs w:val="16"/>
                <w:color w:val="auto"/>
              </w:rPr>
            </w:pPr>
          </w:p>
        </w:tc>
        <w:tc>
          <w:tcPr>
            <w:tcW w:w="4240" w:type="dxa"/>
            <w:vAlign w:val="bottom"/>
          </w:tcPr>
          <w:p>
            <w:pPr>
              <w:spacing w:after="0"/>
              <w:rPr>
                <w:sz w:val="16"/>
                <w:szCs w:val="16"/>
                <w:color w:val="auto"/>
              </w:rPr>
            </w:pPr>
          </w:p>
        </w:tc>
        <w:tc>
          <w:tcPr>
            <w:tcW w:w="112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8"/>
              </w:rPr>
              <w:t>(In thousands</w:t>
            </w:r>
          </w:p>
        </w:tc>
        <w:tc>
          <w:tcPr>
            <w:tcW w:w="100" w:type="dxa"/>
            <w:vAlign w:val="bottom"/>
          </w:tcPr>
          <w:p>
            <w:pPr>
              <w:spacing w:after="0"/>
              <w:rPr>
                <w:sz w:val="16"/>
                <w:szCs w:val="16"/>
                <w:color w:val="auto"/>
              </w:rPr>
            </w:pPr>
          </w:p>
        </w:tc>
      </w:tr>
      <w:tr>
        <w:trPr>
          <w:trHeight w:val="216"/>
        </w:trPr>
        <w:tc>
          <w:tcPr>
            <w:tcW w:w="578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of Korean</w:t>
            </w:r>
          </w:p>
        </w:tc>
      </w:tr>
      <w:tr>
        <w:trPr>
          <w:trHeight w:val="238"/>
        </w:trPr>
        <w:tc>
          <w:tcPr>
            <w:tcW w:w="578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won)</w:t>
            </w:r>
          </w:p>
        </w:tc>
      </w:tr>
      <w:tr>
        <w:trPr>
          <w:trHeight w:val="216"/>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Time deposits and others</w:t>
            </w:r>
          </w:p>
        </w:tc>
        <w:tc>
          <w:tcPr>
            <w:tcW w:w="4240" w:type="dxa"/>
            <w:vAlign w:val="bottom"/>
            <w:shd w:val="clear" w:color="auto" w:fill="CCEEFF"/>
          </w:tcPr>
          <w:p>
            <w:pPr>
              <w:ind w:left="396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11,210,401</w:t>
            </w: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investment strategy and policy for plan assets aim to achieve a balance between risk reduction and return enhancement. The objective of minimizing the volatility of assets relative to liabilities is achieved through diversification of assets, partial asset-liability matching strategies, and hedging. In order to reduce the overall volatility of assets relative to liabilities (risk-adjusted) while achieving target returns, the Group invests broadly across various asset classes. The allocation to fixed-income assets is designed to partially match the characteristics of pension liabilities, which are similar to bonds and have long maturities.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year ended December 31, 2025, the actual return on plan assets amounted to Korean won 349,026 thousand.</w:t>
      </w:r>
    </w:p>
    <w:p>
      <w:pPr>
        <w:spacing w:after="0" w:line="225" w:lineRule="exact"/>
        <w:rPr>
          <w:sz w:val="20"/>
          <w:szCs w:val="20"/>
          <w:color w:val="auto"/>
        </w:rPr>
      </w:pPr>
    </w:p>
    <w:p>
      <w:pPr>
        <w:jc w:val="center"/>
        <w:ind w:left="5540" w:right="300" w:hanging="5208"/>
        <w:spacing w:after="0" w:line="657" w:lineRule="auto"/>
        <w:tabs>
          <w:tab w:leader="none" w:pos="662"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recognized in relation to defined contribution plans for the year ended December 31, 2025 amounted to Korean won 8,487 thousand.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-218440</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8"/>
          <w:szCs w:val="18"/>
          <w:b w:val="1"/>
          <w:bCs w:val="1"/>
          <w:color w:val="auto"/>
        </w:rPr>
        <w:t>HANSOL INTICUBE CO.,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vi.  Sensitivity analysis of the defined benefit obligation to changes in key assumptions for the year ended December 31, 2025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Change in</w:t>
            </w:r>
          </w:p>
        </w:tc>
        <w:tc>
          <w:tcPr>
            <w:tcW w:w="156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Increase in</w:t>
            </w:r>
          </w:p>
        </w:tc>
        <w:tc>
          <w:tcPr>
            <w:tcW w:w="144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Decrease in</w:t>
            </w:r>
          </w:p>
        </w:tc>
      </w:tr>
      <w:tr>
        <w:trPr>
          <w:trHeight w:val="238"/>
        </w:trPr>
        <w:tc>
          <w:tcPr>
            <w:tcW w:w="6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Assumption</w:t>
            </w:r>
          </w:p>
        </w:tc>
        <w:tc>
          <w:tcPr>
            <w:tcW w:w="10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Assumption</w:t>
            </w:r>
          </w:p>
        </w:tc>
        <w:tc>
          <w:tcPr>
            <w:tcW w:w="260" w:type="dxa"/>
            <w:vAlign w:val="bottom"/>
            <w:tcBorders>
              <w:bottom w:val="single" w:sz="8" w:color="CCEEFF"/>
            </w:tcBorders>
          </w:tcPr>
          <w:p>
            <w:pPr>
              <w:spacing w:after="0"/>
              <w:rPr>
                <w:sz w:val="20"/>
                <w:szCs w:val="20"/>
                <w:color w:val="auto"/>
              </w:rPr>
            </w:pPr>
          </w:p>
        </w:tc>
        <w:tc>
          <w:tcPr>
            <w:tcW w:w="13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Assumption</w:t>
            </w:r>
          </w:p>
        </w:tc>
        <w:tc>
          <w:tcPr>
            <w:tcW w:w="220" w:type="dxa"/>
            <w:vAlign w:val="bottom"/>
            <w:tcBorders>
              <w:bottom w:val="single" w:sz="8" w:color="CCEEFF"/>
            </w:tcBorders>
          </w:tcPr>
          <w:p>
            <w:pPr>
              <w:spacing w:after="0"/>
              <w:rPr>
                <w:sz w:val="20"/>
                <w:szCs w:val="20"/>
                <w:color w:val="auto"/>
              </w:rPr>
            </w:pPr>
          </w:p>
        </w:tc>
        <w:tc>
          <w:tcPr>
            <w:tcW w:w="134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Assumption</w:t>
            </w:r>
          </w:p>
        </w:tc>
        <w:tc>
          <w:tcPr>
            <w:tcW w:w="100" w:type="dxa"/>
            <w:vAlign w:val="bottom"/>
            <w:tcBorders>
              <w:bottom w:val="single" w:sz="8" w:color="CCEEFF"/>
            </w:tcBorders>
          </w:tcPr>
          <w:p>
            <w:pPr>
              <w:spacing w:after="0"/>
              <w:rPr>
                <w:sz w:val="20"/>
                <w:szCs w:val="20"/>
                <w:color w:val="auto"/>
              </w:rPr>
            </w:pPr>
          </w:p>
        </w:tc>
      </w:tr>
      <w:tr>
        <w:trPr>
          <w:trHeight w:val="209"/>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Discount rate</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 decrease</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w w:val="98"/>
              </w:rPr>
              <w:t>3.74% increase</w:t>
            </w:r>
          </w:p>
        </w:tc>
        <w:tc>
          <w:tcPr>
            <w:tcW w:w="100" w:type="dxa"/>
            <w:vAlign w:val="bottom"/>
            <w:shd w:val="clear" w:color="auto" w:fill="CCEEFF"/>
          </w:tcPr>
          <w:p>
            <w:pPr>
              <w:spacing w:after="0"/>
              <w:rPr>
                <w:sz w:val="18"/>
                <w:szCs w:val="18"/>
                <w:color w:val="auto"/>
              </w:rPr>
            </w:pPr>
          </w:p>
        </w:tc>
      </w:tr>
      <w:tr>
        <w:trPr>
          <w:trHeight w:val="234"/>
        </w:trPr>
        <w:tc>
          <w:tcPr>
            <w:tcW w:w="6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Salary increase rate</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w:t>
            </w: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3.67% increase</w:t>
            </w:r>
          </w:p>
        </w:tc>
        <w:tc>
          <w:tcPr>
            <w:tcW w:w="14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3.45% decrease</w:t>
            </w:r>
          </w:p>
        </w:tc>
      </w:tr>
    </w:tbl>
    <w:p>
      <w:pPr>
        <w:spacing w:after="0" w:line="1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above sensitivity analysis has been determined based on the assumption that all other variables remain constant. The sensitivity of the defined benefit obligation to changes in key actuarial assumptions has been calculated using the same method (projected unit credit method) applied in measuring the defined benefit obligation recognized in the consolidated statement of financial position.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methods and assumptions used in the sensitivity analysis are consistent with those applied in the prior period.</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vii. Impact of the defined benefit plan on future cash flows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Group reviews the funding level of the plan on an annual basis and has a policy to make up for any funding shortfall. The expected contributions for the year ending December 31, 2026 amount to Korean won 1,232,019 thousand.</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viii. The maturity analysis of undiscounted pension benefit payments as of December 31, 2025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1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gridSpan w:val="2"/>
          </w:tcPr>
          <w:p>
            <w:pPr>
              <w:jc w:val="center"/>
              <w:ind w:left="103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31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3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99"/>
              </w:rPr>
              <w:t>Within 1 year</w:t>
            </w:r>
          </w:p>
        </w:tc>
        <w:tc>
          <w:tcPr>
            <w:tcW w:w="13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1–2 years</w:t>
            </w:r>
          </w:p>
        </w:tc>
        <w:tc>
          <w:tcPr>
            <w:tcW w:w="130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2–5 years</w:t>
            </w:r>
          </w:p>
        </w:tc>
        <w:tc>
          <w:tcPr>
            <w:tcW w:w="13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Over 5 years</w:t>
            </w: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100" w:type="dxa"/>
            <w:vAlign w:val="bottom"/>
          </w:tcPr>
          <w:p>
            <w:pPr>
              <w:spacing w:after="0"/>
              <w:rPr>
                <w:sz w:val="18"/>
                <w:szCs w:val="18"/>
                <w:color w:val="auto"/>
              </w:rPr>
            </w:pPr>
          </w:p>
        </w:tc>
      </w:tr>
      <w:tr>
        <w:trPr>
          <w:trHeight w:val="209"/>
        </w:trPr>
        <w:tc>
          <w:tcPr>
            <w:tcW w:w="31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980" w:type="dxa"/>
            <w:vAlign w:val="bottom"/>
            <w:gridSpan w:val="3"/>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(In thousands of Korean won)</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Defined benefit obligation</w:t>
            </w:r>
          </w:p>
        </w:tc>
        <w:tc>
          <w:tcPr>
            <w:tcW w:w="1560" w:type="dxa"/>
            <w:vAlign w:val="bottom"/>
            <w:shd w:val="clear" w:color="auto" w:fill="CCEEFF"/>
          </w:tcPr>
          <w:p>
            <w:pPr>
              <w:ind w:left="126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2,901,147</w:t>
            </w:r>
          </w:p>
        </w:tc>
        <w:tc>
          <w:tcPr>
            <w:tcW w:w="1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2,659,263</w:t>
            </w:r>
          </w:p>
        </w:tc>
        <w:tc>
          <w:tcPr>
            <w:tcW w:w="13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5,968,625</w:t>
            </w:r>
          </w:p>
        </w:tc>
        <w:tc>
          <w:tcPr>
            <w:tcW w:w="1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9,701,099</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21,230,134</w:t>
            </w:r>
          </w:p>
        </w:tc>
      </w:tr>
      <w:tr>
        <w:trPr>
          <w:trHeight w:val="432"/>
        </w:trPr>
        <w:tc>
          <w:tcPr>
            <w:tcW w:w="740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ix.  The weighted average duration of the defined benefit obligation of the Group is as follows:</w:t>
            </w:r>
          </w:p>
        </w:tc>
        <w:tc>
          <w:tcPr>
            <w:tcW w:w="1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31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3160" w:type="dxa"/>
            <w:vAlign w:val="bottom"/>
            <w:tcBorders>
              <w:bottom w:val="single" w:sz="8" w:color="CCEEFF"/>
            </w:tcBorders>
          </w:tcPr>
          <w:p>
            <w:pPr>
              <w:spacing w:after="0"/>
              <w:rPr>
                <w:sz w:val="20"/>
                <w:szCs w:val="20"/>
                <w:color w:val="auto"/>
              </w:rPr>
            </w:pPr>
          </w:p>
        </w:tc>
        <w:tc>
          <w:tcPr>
            <w:tcW w:w="1560" w:type="dxa"/>
            <w:vAlign w:val="bottom"/>
            <w:tcBorders>
              <w:bottom w:val="single" w:sz="8" w:color="CCEEFF"/>
            </w:tcBorders>
          </w:tcPr>
          <w:p>
            <w:pPr>
              <w:spacing w:after="0"/>
              <w:rPr>
                <w:sz w:val="20"/>
                <w:szCs w:val="20"/>
                <w:color w:val="auto"/>
              </w:rPr>
            </w:pPr>
          </w:p>
        </w:tc>
        <w:tc>
          <w:tcPr>
            <w:tcW w:w="1320" w:type="dxa"/>
            <w:vAlign w:val="bottom"/>
            <w:tcBorders>
              <w:bottom w:val="single" w:sz="8" w:color="CCEEFF"/>
            </w:tcBorders>
          </w:tcPr>
          <w:p>
            <w:pPr>
              <w:spacing w:after="0"/>
              <w:rPr>
                <w:sz w:val="20"/>
                <w:szCs w:val="20"/>
                <w:color w:val="auto"/>
              </w:rPr>
            </w:pPr>
          </w:p>
        </w:tc>
        <w:tc>
          <w:tcPr>
            <w:tcW w:w="1360" w:type="dxa"/>
            <w:vAlign w:val="bottom"/>
            <w:tcBorders>
              <w:bottom w:val="single" w:sz="8" w:color="CCEEFF"/>
            </w:tcBorders>
          </w:tcPr>
          <w:p>
            <w:pPr>
              <w:spacing w:after="0"/>
              <w:rPr>
                <w:sz w:val="20"/>
                <w:szCs w:val="20"/>
                <w:color w:val="auto"/>
              </w:rPr>
            </w:pPr>
          </w:p>
        </w:tc>
        <w:tc>
          <w:tcPr>
            <w:tcW w:w="1300" w:type="dxa"/>
            <w:vAlign w:val="bottom"/>
            <w:tcBorders>
              <w:bottom w:val="single" w:sz="8" w:color="CCEEFF"/>
            </w:tcBorders>
          </w:tcPr>
          <w:p>
            <w:pPr>
              <w:spacing w:after="0"/>
              <w:rPr>
                <w:sz w:val="20"/>
                <w:szCs w:val="20"/>
                <w:color w:val="auto"/>
              </w:rPr>
            </w:pPr>
          </w:p>
        </w:tc>
        <w:tc>
          <w:tcPr>
            <w:tcW w:w="132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Borders>
              <w:bottom w:val="single" w:sz="8" w:color="CCEEFF"/>
            </w:tcBorders>
          </w:tcPr>
          <w:p>
            <w:pPr>
              <w:spacing w:after="0"/>
              <w:rPr>
                <w:sz w:val="20"/>
                <w:szCs w:val="20"/>
                <w:color w:val="auto"/>
              </w:rPr>
            </w:pPr>
          </w:p>
        </w:tc>
      </w:tr>
      <w:tr>
        <w:trPr>
          <w:trHeight w:val="210"/>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Parent company</w:t>
            </w:r>
          </w:p>
        </w:tc>
        <w:tc>
          <w:tcPr>
            <w:tcW w:w="15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3.65 years</w:t>
            </w:r>
          </w:p>
        </w:tc>
        <w:tc>
          <w:tcPr>
            <w:tcW w:w="100" w:type="dxa"/>
            <w:vAlign w:val="bottom"/>
            <w:shd w:val="clear" w:color="auto" w:fill="CCEEFF"/>
          </w:tcPr>
          <w:p>
            <w:pPr>
              <w:spacing w:after="0"/>
              <w:rPr>
                <w:sz w:val="18"/>
                <w:szCs w:val="18"/>
                <w:color w:val="auto"/>
              </w:rPr>
            </w:pPr>
          </w:p>
        </w:tc>
      </w:tr>
      <w:tr>
        <w:trPr>
          <w:trHeight w:val="234"/>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Subsidiaries</w:t>
            </w:r>
          </w:p>
        </w:tc>
        <w:tc>
          <w:tcPr>
            <w:tcW w:w="15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8.81 years</w:t>
            </w:r>
          </w:p>
        </w:tc>
      </w:tr>
    </w:tbl>
    <w:p>
      <w:pPr>
        <w:spacing w:after="0" w:line="175"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B.</w:t>
      </w:r>
      <w:r>
        <w:rPr>
          <w:sz w:val="20"/>
          <w:szCs w:val="20"/>
          <w:color w:val="auto"/>
        </w:rPr>
        <w:tab/>
      </w:r>
      <w:r>
        <w:rPr>
          <w:rFonts w:ascii="Times New Roman" w:cs="Times New Roman" w:eastAsia="Times New Roman" w:hAnsi="Times New Roman"/>
          <w:sz w:val="17"/>
          <w:szCs w:val="17"/>
          <w:b w:val="1"/>
          <w:bCs w:val="1"/>
          <w:color w:val="auto"/>
        </w:rPr>
        <w:t>Other long-term employee benefits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Group provides monetary benefits to employees with long-term service. These benefits are measured using the same method applied to defined benefit obligations for retirement benefits.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2025, the present value of the defined benefit obligation related to other long-term employee benefits amounts to Korean won 176,138 thousand and is presented as employee benefits liabilities. Net interest and remeasurement components related to these obligations are recognized in profit or loss.</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8"/>
          <w:szCs w:val="18"/>
          <w:b w:val="1"/>
          <w:bCs w:val="1"/>
          <w:color w:val="auto"/>
        </w:rPr>
        <w:t>HANSOL INTICUBE CO.,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18. Other Liabilities</w:t>
            </w:r>
          </w:p>
        </w:tc>
        <w:tc>
          <w:tcPr>
            <w:tcW w:w="5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Details of other liabilities as of December 31, 2025 are as follows:</w:t>
            </w:r>
          </w:p>
        </w:tc>
        <w:tc>
          <w:tcPr>
            <w:tcW w:w="5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26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38"/>
        </w:trPr>
        <w:tc>
          <w:tcPr>
            <w:tcW w:w="260" w:type="dxa"/>
            <w:vAlign w:val="bottom"/>
          </w:tcPr>
          <w:p>
            <w:pPr>
              <w:spacing w:after="0"/>
              <w:rPr>
                <w:sz w:val="20"/>
                <w:szCs w:val="20"/>
                <w:color w:val="auto"/>
              </w:rPr>
            </w:pPr>
          </w:p>
        </w:tc>
        <w:tc>
          <w:tcPr>
            <w:tcW w:w="5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260" w:type="dxa"/>
            <w:vAlign w:val="bottom"/>
          </w:tcPr>
          <w:p>
            <w:pPr>
              <w:spacing w:after="0"/>
              <w:rPr>
                <w:sz w:val="16"/>
                <w:szCs w:val="16"/>
                <w:color w:val="auto"/>
              </w:rPr>
            </w:pPr>
          </w:p>
        </w:tc>
        <w:tc>
          <w:tcPr>
            <w:tcW w:w="5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8"/>
              </w:rPr>
              <w:t>(In thousands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of Korean</w:t>
            </w:r>
          </w:p>
        </w:tc>
        <w:tc>
          <w:tcPr>
            <w:tcW w:w="0" w:type="dxa"/>
            <w:vAlign w:val="bottom"/>
          </w:tcPr>
          <w:p>
            <w:pPr>
              <w:spacing w:after="0"/>
              <w:rPr>
                <w:sz w:val="1"/>
                <w:szCs w:val="1"/>
                <w:color w:val="auto"/>
              </w:rPr>
            </w:pPr>
          </w:p>
        </w:tc>
      </w:tr>
      <w:tr>
        <w:trPr>
          <w:trHeight w:val="238"/>
        </w:trPr>
        <w:tc>
          <w:tcPr>
            <w:tcW w:w="260" w:type="dxa"/>
            <w:vAlign w:val="bottom"/>
          </w:tcPr>
          <w:p>
            <w:pPr>
              <w:spacing w:after="0"/>
              <w:rPr>
                <w:sz w:val="20"/>
                <w:szCs w:val="20"/>
                <w:color w:val="auto"/>
              </w:rPr>
            </w:pPr>
          </w:p>
        </w:tc>
        <w:tc>
          <w:tcPr>
            <w:tcW w:w="5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won)</w:t>
            </w:r>
          </w:p>
        </w:tc>
        <w:tc>
          <w:tcPr>
            <w:tcW w:w="0" w:type="dxa"/>
            <w:vAlign w:val="bottom"/>
          </w:tcPr>
          <w:p>
            <w:pPr>
              <w:spacing w:after="0"/>
              <w:rPr>
                <w:sz w:val="1"/>
                <w:szCs w:val="1"/>
                <w:color w:val="auto"/>
              </w:rPr>
            </w:pPr>
          </w:p>
        </w:tc>
      </w:tr>
      <w:tr>
        <w:trPr>
          <w:trHeight w:val="216"/>
        </w:trPr>
        <w:tc>
          <w:tcPr>
            <w:tcW w:w="5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Advances received</w:t>
            </w:r>
          </w:p>
        </w:tc>
        <w:tc>
          <w:tcPr>
            <w:tcW w:w="5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41,223</w:t>
            </w:r>
          </w:p>
        </w:tc>
        <w:tc>
          <w:tcPr>
            <w:tcW w:w="0" w:type="dxa"/>
            <w:vAlign w:val="bottom"/>
          </w:tcPr>
          <w:p>
            <w:pPr>
              <w:spacing w:after="0"/>
              <w:rPr>
                <w:sz w:val="1"/>
                <w:szCs w:val="1"/>
                <w:color w:val="auto"/>
              </w:rPr>
            </w:pPr>
          </w:p>
        </w:tc>
      </w:tr>
      <w:tr>
        <w:trPr>
          <w:trHeight w:val="216"/>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Deposits received</w:t>
            </w:r>
          </w:p>
        </w:tc>
        <w:tc>
          <w:tcPr>
            <w:tcW w:w="5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9,424</w:t>
            </w:r>
          </w:p>
        </w:tc>
        <w:tc>
          <w:tcPr>
            <w:tcW w:w="0" w:type="dxa"/>
            <w:vAlign w:val="bottom"/>
          </w:tcPr>
          <w:p>
            <w:pPr>
              <w:spacing w:after="0"/>
              <w:rPr>
                <w:sz w:val="1"/>
                <w:szCs w:val="1"/>
                <w:color w:val="auto"/>
              </w:rPr>
            </w:pPr>
          </w:p>
        </w:tc>
      </w:tr>
      <w:tr>
        <w:trPr>
          <w:trHeight w:val="216"/>
        </w:trPr>
        <w:tc>
          <w:tcPr>
            <w:tcW w:w="5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VAT payable</w:t>
            </w:r>
          </w:p>
        </w:tc>
        <w:tc>
          <w:tcPr>
            <w:tcW w:w="5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1,405,798</w:t>
            </w:r>
          </w:p>
        </w:tc>
        <w:tc>
          <w:tcPr>
            <w:tcW w:w="0" w:type="dxa"/>
            <w:vAlign w:val="bottom"/>
          </w:tcPr>
          <w:p>
            <w:pPr>
              <w:spacing w:after="0"/>
              <w:rPr>
                <w:sz w:val="1"/>
                <w:szCs w:val="1"/>
                <w:color w:val="auto"/>
              </w:rPr>
            </w:pPr>
          </w:p>
        </w:tc>
      </w:tr>
      <w:tr>
        <w:trPr>
          <w:trHeight w:val="209"/>
        </w:trPr>
        <w:tc>
          <w:tcPr>
            <w:tcW w:w="260" w:type="dxa"/>
            <w:vAlign w:val="bottom"/>
          </w:tcPr>
          <w:p>
            <w:pPr>
              <w:spacing w:after="0"/>
              <w:rPr>
                <w:sz w:val="18"/>
                <w:szCs w:val="18"/>
                <w:color w:val="auto"/>
              </w:rPr>
            </w:pPr>
          </w:p>
        </w:tc>
        <w:tc>
          <w:tcPr>
            <w:tcW w:w="5260" w:type="dxa"/>
            <w:vAlign w:val="bottom"/>
          </w:tcPr>
          <w:p>
            <w:pPr>
              <w:ind w:left="4460"/>
              <w:spacing w:after="0"/>
              <w:rPr>
                <w:sz w:val="20"/>
                <w:szCs w:val="20"/>
                <w:color w:val="auto"/>
              </w:rPr>
            </w:pPr>
            <w:r>
              <w:rPr>
                <w:rFonts w:ascii="Times New Roman" w:cs="Times New Roman" w:eastAsia="Times New Roman" w:hAnsi="Times New Roman"/>
                <w:sz w:val="18"/>
                <w:szCs w:val="18"/>
                <w:color w:val="auto"/>
              </w:rPr>
              <w:t>Total</w:t>
            </w:r>
          </w:p>
        </w:tc>
        <w:tc>
          <w:tcPr>
            <w:tcW w:w="5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1,456,445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19. Provisions</w:t>
            </w:r>
          </w:p>
        </w:tc>
        <w:tc>
          <w:tcPr>
            <w:tcW w:w="5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520" w:type="dxa"/>
            <w:vAlign w:val="bottom"/>
            <w:gridSpan w:val="2"/>
            <w:vMerge w:val="continue"/>
          </w:tcPr>
          <w:p>
            <w:pPr>
              <w:spacing w:after="0"/>
              <w:rPr>
                <w:sz w:val="24"/>
                <w:szCs w:val="24"/>
                <w:color w:val="auto"/>
              </w:rPr>
            </w:pPr>
          </w:p>
        </w:tc>
        <w:tc>
          <w:tcPr>
            <w:tcW w:w="5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w:t>
            </w:r>
          </w:p>
        </w:tc>
        <w:tc>
          <w:tcPr>
            <w:tcW w:w="526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Details of provisions</w:t>
            </w:r>
          </w:p>
        </w:tc>
        <w:tc>
          <w:tcPr>
            <w:tcW w:w="5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Details of provisions as of December 31, 2025 are as follows:</w:t>
            </w:r>
          </w:p>
        </w:tc>
        <w:tc>
          <w:tcPr>
            <w:tcW w:w="5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26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40" w:type="dxa"/>
            <w:vAlign w:val="bottom"/>
            <w:gridSpan w:val="4"/>
          </w:tcPr>
          <w:p>
            <w:pPr>
              <w:ind w:left="7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260" w:type="dxa"/>
            <w:vAlign w:val="bottom"/>
          </w:tcPr>
          <w:p>
            <w:pPr>
              <w:spacing w:after="0"/>
              <w:rPr>
                <w:sz w:val="20"/>
                <w:szCs w:val="20"/>
                <w:color w:val="auto"/>
              </w:rPr>
            </w:pPr>
          </w:p>
        </w:tc>
        <w:tc>
          <w:tcPr>
            <w:tcW w:w="5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40" w:type="dxa"/>
            <w:vAlign w:val="bottom"/>
            <w:tcBorders>
              <w:bottom w:val="single" w:sz="8" w:color="auto"/>
            </w:tcBorders>
            <w:gridSpan w:val="3"/>
          </w:tcPr>
          <w:p>
            <w:pPr>
              <w:ind w:left="104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6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Borders>
              <w:bottom w:val="single" w:sz="8" w:color="auto"/>
            </w:tcBorders>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Non-current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6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(In thousands of Korean won)</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Restoration provisions</w:t>
            </w:r>
          </w:p>
        </w:tc>
        <w:tc>
          <w:tcPr>
            <w:tcW w:w="5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173,498</w:t>
            </w:r>
          </w:p>
        </w:tc>
        <w:tc>
          <w:tcPr>
            <w:tcW w:w="0" w:type="dxa"/>
            <w:vAlign w:val="bottom"/>
          </w:tcPr>
          <w:p>
            <w:pPr>
              <w:spacing w:after="0"/>
              <w:rPr>
                <w:sz w:val="1"/>
                <w:szCs w:val="1"/>
                <w:color w:val="auto"/>
              </w:rPr>
            </w:pPr>
          </w:p>
        </w:tc>
      </w:tr>
      <w:tr>
        <w:trPr>
          <w:trHeight w:val="216"/>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Warranty provisions</w:t>
            </w:r>
          </w:p>
        </w:tc>
        <w:tc>
          <w:tcPr>
            <w:tcW w:w="5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430,521</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loss on contracts</w:t>
            </w:r>
          </w:p>
        </w:tc>
        <w:tc>
          <w:tcPr>
            <w:tcW w:w="5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1,985</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Mileage provisions</w:t>
            </w:r>
          </w:p>
        </w:tc>
        <w:tc>
          <w:tcPr>
            <w:tcW w:w="5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5260" w:type="dxa"/>
            <w:vAlign w:val="bottom"/>
            <w:tcBorders>
              <w:top w:val="single" w:sz="8" w:color="CCEEFF"/>
              <w:bottom w:val="single" w:sz="8" w:color="CCEEFF"/>
            </w:tcBorders>
            <w:shd w:val="clear" w:color="auto" w:fill="CCEEFF"/>
          </w:tcPr>
          <w:p>
            <w:pPr>
              <w:ind w:left="3800"/>
              <w:spacing w:after="0"/>
              <w:rPr>
                <w:sz w:val="20"/>
                <w:szCs w:val="20"/>
                <w:color w:val="auto"/>
              </w:rPr>
            </w:pPr>
            <w:r>
              <w:rPr>
                <w:rFonts w:ascii="Times New Roman" w:cs="Times New Roman" w:eastAsia="Times New Roman" w:hAnsi="Times New Roman"/>
                <w:sz w:val="18"/>
                <w:szCs w:val="18"/>
                <w:color w:val="auto"/>
              </w:rPr>
              <w:t>Total</w:t>
            </w:r>
          </w:p>
        </w:tc>
        <w:tc>
          <w:tcPr>
            <w:tcW w:w="540" w:type="dxa"/>
            <w:vAlign w:val="bottom"/>
            <w:tcBorders>
              <w:top w:val="single" w:sz="8" w:color="CCEEFF"/>
              <w:bottom w:val="single" w:sz="8" w:color="CCEEFF"/>
            </w:tcBorders>
            <w:shd w:val="clear" w:color="auto" w:fill="CCEEFF"/>
          </w:tcPr>
          <w:p>
            <w:pPr>
              <w:spacing w:after="0"/>
              <w:rPr>
                <w:sz w:val="18"/>
                <w:szCs w:val="18"/>
                <w:color w:val="auto"/>
              </w:rPr>
            </w:pPr>
          </w:p>
        </w:tc>
        <w:tc>
          <w:tcPr>
            <w:tcW w:w="11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320" w:type="dxa"/>
            <w:vAlign w:val="bottom"/>
            <w:tcBorders>
              <w:top w:val="single" w:sz="8" w:color="CCEEFF"/>
              <w:bottom w:val="single" w:sz="8" w:color="CCEEFF"/>
            </w:tcBorders>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432,506</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173,498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B.</w:t>
            </w:r>
          </w:p>
        </w:tc>
        <w:tc>
          <w:tcPr>
            <w:tcW w:w="5260" w:type="dxa"/>
            <w:vAlign w:val="bottom"/>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Changes in provisions</w:t>
            </w:r>
          </w:p>
        </w:tc>
        <w:tc>
          <w:tcPr>
            <w:tcW w:w="5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60" w:type="dxa"/>
            <w:vAlign w:val="bottom"/>
            <w:vMerge w:val="continue"/>
          </w:tcPr>
          <w:p>
            <w:pPr>
              <w:spacing w:after="0"/>
              <w:rPr>
                <w:sz w:val="24"/>
                <w:szCs w:val="24"/>
                <w:color w:val="auto"/>
              </w:rPr>
            </w:pPr>
          </w:p>
        </w:tc>
        <w:tc>
          <w:tcPr>
            <w:tcW w:w="5260" w:type="dxa"/>
            <w:vAlign w:val="bottom"/>
            <w:vMerge w:val="continue"/>
          </w:tcPr>
          <w:p>
            <w:pPr>
              <w:spacing w:after="0"/>
              <w:rPr>
                <w:sz w:val="24"/>
                <w:szCs w:val="24"/>
                <w:color w:val="auto"/>
              </w:rPr>
            </w:pPr>
          </w:p>
        </w:tc>
        <w:tc>
          <w:tcPr>
            <w:tcW w:w="5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Changes in provisions for the year ended December 31, 2025 are as follows:</w:t>
            </w:r>
          </w:p>
        </w:tc>
        <w:tc>
          <w:tcPr>
            <w:tcW w:w="5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6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3"/>
          </w:tcPr>
          <w:p>
            <w:pPr>
              <w:ind w:left="104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260" w:type="dxa"/>
            <w:vAlign w:val="bottom"/>
          </w:tcPr>
          <w:p>
            <w:pPr>
              <w:spacing w:after="0"/>
              <w:rPr>
                <w:sz w:val="16"/>
                <w:szCs w:val="16"/>
                <w:color w:val="auto"/>
              </w:rPr>
            </w:pPr>
          </w:p>
        </w:tc>
        <w:tc>
          <w:tcPr>
            <w:tcW w:w="5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320" w:type="dxa"/>
            <w:vAlign w:val="bottom"/>
            <w:gridSpan w:val="2"/>
          </w:tcPr>
          <w:p>
            <w:pPr>
              <w:jc w:val="right"/>
              <w:ind w:right="380"/>
              <w:spacing w:after="0" w:line="188" w:lineRule="exact"/>
              <w:rPr>
                <w:sz w:val="20"/>
                <w:szCs w:val="20"/>
                <w:color w:val="auto"/>
              </w:rPr>
            </w:pPr>
            <w:r>
              <w:rPr>
                <w:rFonts w:ascii="Times New Roman" w:cs="Times New Roman" w:eastAsia="Times New Roman" w:hAnsi="Times New Roman"/>
                <w:sz w:val="18"/>
                <w:szCs w:val="18"/>
                <w:b w:val="1"/>
                <w:bCs w:val="1"/>
                <w:color w:val="auto"/>
              </w:rPr>
              <w:t>Beginning</w:t>
            </w:r>
          </w:p>
        </w:tc>
        <w:tc>
          <w:tcPr>
            <w:tcW w:w="1320" w:type="dxa"/>
            <w:vAlign w:val="bottom"/>
            <w:gridSpan w:val="2"/>
          </w:tcPr>
          <w:p>
            <w:pPr>
              <w:jc w:val="right"/>
              <w:ind w:right="400"/>
              <w:spacing w:after="0" w:line="188" w:lineRule="exact"/>
              <w:rPr>
                <w:sz w:val="20"/>
                <w:szCs w:val="20"/>
                <w:color w:val="auto"/>
              </w:rPr>
            </w:pPr>
            <w:r>
              <w:rPr>
                <w:rFonts w:ascii="Times New Roman" w:cs="Times New Roman" w:eastAsia="Times New Roman" w:hAnsi="Times New Roman"/>
                <w:sz w:val="18"/>
                <w:szCs w:val="18"/>
                <w:b w:val="1"/>
                <w:bCs w:val="1"/>
                <w:color w:val="auto"/>
              </w:rPr>
              <w:t>Additions</w:t>
            </w:r>
          </w:p>
        </w:tc>
        <w:tc>
          <w:tcPr>
            <w:tcW w:w="1320" w:type="dxa"/>
            <w:vAlign w:val="bottom"/>
            <w:gridSpan w:val="2"/>
          </w:tcPr>
          <w:p>
            <w:pPr>
              <w:jc w:val="right"/>
              <w:ind w:right="460"/>
              <w:spacing w:after="0" w:line="188" w:lineRule="exact"/>
              <w:rPr>
                <w:sz w:val="20"/>
                <w:szCs w:val="20"/>
                <w:color w:val="auto"/>
              </w:rPr>
            </w:pPr>
            <w:r>
              <w:rPr>
                <w:rFonts w:ascii="Times New Roman" w:cs="Times New Roman" w:eastAsia="Times New Roman" w:hAnsi="Times New Roman"/>
                <w:sz w:val="18"/>
                <w:szCs w:val="18"/>
                <w:b w:val="1"/>
                <w:bCs w:val="1"/>
                <w:color w:val="auto"/>
              </w:rPr>
              <w:t>Interest</w:t>
            </w:r>
          </w:p>
        </w:tc>
        <w:tc>
          <w:tcPr>
            <w:tcW w:w="112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Ending</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60" w:type="dxa"/>
            <w:vAlign w:val="bottom"/>
          </w:tcPr>
          <w:p>
            <w:pPr>
              <w:spacing w:after="0"/>
              <w:rPr>
                <w:sz w:val="20"/>
                <w:szCs w:val="20"/>
                <w:color w:val="auto"/>
              </w:rPr>
            </w:pPr>
          </w:p>
        </w:tc>
        <w:tc>
          <w:tcPr>
            <w:tcW w:w="5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3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13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(reversal)</w:t>
            </w:r>
          </w:p>
        </w:tc>
        <w:tc>
          <w:tcPr>
            <w:tcW w:w="13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expense</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0" w:type="dxa"/>
            <w:vAlign w:val="bottom"/>
          </w:tcPr>
          <w:p>
            <w:pPr>
              <w:spacing w:after="0"/>
              <w:rPr>
                <w:sz w:val="1"/>
                <w:szCs w:val="1"/>
                <w:color w:val="auto"/>
              </w:rPr>
            </w:pPr>
          </w:p>
        </w:tc>
      </w:tr>
      <w:tr>
        <w:trPr>
          <w:trHeight w:val="210"/>
        </w:trPr>
        <w:tc>
          <w:tcPr>
            <w:tcW w:w="26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640" w:type="dxa"/>
            <w:vAlign w:val="bottom"/>
            <w:tcBorders>
              <w:top w:val="single" w:sz="8" w:color="auto"/>
            </w:tcBorders>
            <w:gridSpan w:val="4"/>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(In thousands of Korean won)</w:t>
            </w: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Restoration provisions</w:t>
            </w:r>
          </w:p>
        </w:tc>
        <w:tc>
          <w:tcPr>
            <w:tcW w:w="5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181,505</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(16,982)</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8,975</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173,498</w:t>
            </w:r>
          </w:p>
        </w:tc>
        <w:tc>
          <w:tcPr>
            <w:tcW w:w="0" w:type="dxa"/>
            <w:vAlign w:val="bottom"/>
          </w:tcPr>
          <w:p>
            <w:pPr>
              <w:spacing w:after="0"/>
              <w:rPr>
                <w:sz w:val="1"/>
                <w:szCs w:val="1"/>
                <w:color w:val="auto"/>
              </w:rPr>
            </w:pPr>
          </w:p>
        </w:tc>
      </w:tr>
      <w:tr>
        <w:trPr>
          <w:trHeight w:val="216"/>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Warranty provisions</w:t>
            </w:r>
          </w:p>
        </w:tc>
        <w:tc>
          <w:tcPr>
            <w:tcW w:w="5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247,270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183,251</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430,521</w:t>
            </w:r>
          </w:p>
        </w:tc>
        <w:tc>
          <w:tcPr>
            <w:tcW w:w="0" w:type="dxa"/>
            <w:vAlign w:val="bottom"/>
          </w:tcPr>
          <w:p>
            <w:pPr>
              <w:spacing w:after="0"/>
              <w:rPr>
                <w:sz w:val="1"/>
                <w:szCs w:val="1"/>
                <w:color w:val="auto"/>
              </w:rPr>
            </w:pPr>
          </w:p>
        </w:tc>
      </w:tr>
      <w:tr>
        <w:trPr>
          <w:trHeight w:val="216"/>
        </w:trPr>
        <w:tc>
          <w:tcPr>
            <w:tcW w:w="5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loss on contracts</w:t>
            </w:r>
          </w:p>
        </w:tc>
        <w:tc>
          <w:tcPr>
            <w:tcW w:w="5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23,679</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(21,694)</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1,985</w:t>
            </w:r>
          </w:p>
        </w:tc>
        <w:tc>
          <w:tcPr>
            <w:tcW w:w="0" w:type="dxa"/>
            <w:vAlign w:val="bottom"/>
          </w:tcPr>
          <w:p>
            <w:pPr>
              <w:spacing w:after="0"/>
              <w:rPr>
                <w:sz w:val="1"/>
                <w:szCs w:val="1"/>
                <w:color w:val="auto"/>
              </w:rPr>
            </w:pPr>
          </w:p>
        </w:tc>
      </w:tr>
      <w:tr>
        <w:trPr>
          <w:trHeight w:val="216"/>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Mileage provisions</w:t>
            </w:r>
          </w:p>
        </w:tc>
        <w:tc>
          <w:tcPr>
            <w:tcW w:w="5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46,154</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(46,154)</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5260" w:type="dxa"/>
            <w:vAlign w:val="bottom"/>
            <w:tcBorders>
              <w:top w:val="single" w:sz="8" w:color="CCEEFF"/>
              <w:bottom w:val="single" w:sz="8" w:color="CCEEFF"/>
            </w:tcBorders>
            <w:shd w:val="clear" w:color="auto" w:fill="CCEEFF"/>
          </w:tcPr>
          <w:p>
            <w:pPr>
              <w:ind w:left="2460"/>
              <w:spacing w:after="0"/>
              <w:rPr>
                <w:sz w:val="20"/>
                <w:szCs w:val="20"/>
                <w:color w:val="auto"/>
              </w:rPr>
            </w:pPr>
            <w:r>
              <w:rPr>
                <w:rFonts w:ascii="Times New Roman" w:cs="Times New Roman" w:eastAsia="Times New Roman" w:hAnsi="Times New Roman"/>
                <w:sz w:val="18"/>
                <w:szCs w:val="18"/>
                <w:color w:val="auto"/>
              </w:rPr>
              <w:t>Total</w:t>
            </w:r>
          </w:p>
        </w:tc>
        <w:tc>
          <w:tcPr>
            <w:tcW w:w="540" w:type="dxa"/>
            <w:vAlign w:val="bottom"/>
            <w:tcBorders>
              <w:top w:val="single" w:sz="8" w:color="CCEEFF"/>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498,608</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98,421</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8,975</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606,004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54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color w:val="auto"/>
                <w:w w:val="99"/>
              </w:rPr>
              <w:t>35</w:t>
            </w: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1"/>
        </w:trPr>
        <w:tc>
          <w:tcPr>
            <w:tcW w:w="260" w:type="dxa"/>
            <w:vAlign w:val="bottom"/>
            <w:tcBorders>
              <w:bottom w:val="single" w:sz="8" w:color="auto"/>
            </w:tcBorders>
          </w:tcPr>
          <w:p>
            <w:pPr>
              <w:spacing w:after="0"/>
              <w:rPr>
                <w:sz w:val="24"/>
                <w:szCs w:val="24"/>
                <w:color w:val="auto"/>
              </w:rPr>
            </w:pPr>
          </w:p>
        </w:tc>
        <w:tc>
          <w:tcPr>
            <w:tcW w:w="52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vMerge w:val="continue"/>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65" w:right="339"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18"/>
          <w:szCs w:val="18"/>
          <w:b w:val="1"/>
          <w:bCs w:val="1"/>
          <w:color w:val="auto"/>
        </w:rPr>
        <w:t>HANSOL INTICUBE CO.,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 Share capital</w:t>
            </w: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9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  Details of share capital</w:t>
            </w: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9020" w:type="dxa"/>
            <w:vAlign w:val="bottom"/>
          </w:tcPr>
          <w:p>
            <w:pPr>
              <w:spacing w:after="0"/>
              <w:rPr>
                <w:sz w:val="20"/>
                <w:szCs w:val="20"/>
                <w:color w:val="auto"/>
              </w:rPr>
            </w:pPr>
            <w:r>
              <w:rPr>
                <w:rFonts w:ascii="Times New Roman" w:cs="Times New Roman" w:eastAsia="Times New Roman" w:hAnsi="Times New Roman"/>
                <w:sz w:val="18"/>
                <w:szCs w:val="18"/>
                <w:color w:val="auto"/>
              </w:rPr>
              <w:t>Details of share capital as of December 31, 2025 are as follows:</w:t>
            </w: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90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52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8"/>
        </w:trPr>
        <w:tc>
          <w:tcPr>
            <w:tcW w:w="90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2"/>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20"/>
                <w:szCs w:val="20"/>
                <w:color w:val="auto"/>
              </w:rPr>
            </w:pPr>
          </w:p>
        </w:tc>
      </w:tr>
      <w:tr>
        <w:trPr>
          <w:trHeight w:val="187"/>
        </w:trPr>
        <w:tc>
          <w:tcPr>
            <w:tcW w:w="90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20" w:type="dxa"/>
            <w:vAlign w:val="bottom"/>
            <w:gridSpan w:val="3"/>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(In thousands of</w:t>
            </w:r>
          </w:p>
        </w:tc>
        <w:tc>
          <w:tcPr>
            <w:tcW w:w="100" w:type="dxa"/>
            <w:vAlign w:val="bottom"/>
          </w:tcPr>
          <w:p>
            <w:pPr>
              <w:spacing w:after="0"/>
              <w:rPr>
                <w:sz w:val="16"/>
                <w:szCs w:val="16"/>
                <w:color w:val="auto"/>
              </w:rPr>
            </w:pPr>
          </w:p>
        </w:tc>
      </w:tr>
      <w:tr>
        <w:trPr>
          <w:trHeight w:val="216"/>
        </w:trPr>
        <w:tc>
          <w:tcPr>
            <w:tcW w:w="90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Korean won,</w:t>
            </w:r>
          </w:p>
        </w:tc>
      </w:tr>
      <w:tr>
        <w:trPr>
          <w:trHeight w:val="216"/>
        </w:trPr>
        <w:tc>
          <w:tcPr>
            <w:tcW w:w="90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shares and</w:t>
            </w:r>
          </w:p>
        </w:tc>
      </w:tr>
      <w:tr>
        <w:trPr>
          <w:trHeight w:val="238"/>
        </w:trPr>
        <w:tc>
          <w:tcPr>
            <w:tcW w:w="90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Korean won)</w:t>
            </w:r>
          </w:p>
        </w:tc>
      </w:tr>
      <w:tr>
        <w:trPr>
          <w:trHeight w:val="216"/>
        </w:trPr>
        <w:tc>
          <w:tcPr>
            <w:tcW w:w="9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Authorized shares</w:t>
            </w:r>
          </w:p>
        </w:tc>
        <w:tc>
          <w:tcPr>
            <w:tcW w:w="700" w:type="dxa"/>
            <w:vAlign w:val="bottom"/>
            <w:shd w:val="clear" w:color="auto" w:fill="CCEEFF"/>
          </w:tcPr>
          <w:p>
            <w:pPr>
              <w:spacing w:after="0"/>
              <w:rPr>
                <w:sz w:val="18"/>
                <w:szCs w:val="18"/>
                <w:color w:val="auto"/>
              </w:rPr>
            </w:pPr>
          </w:p>
        </w:tc>
        <w:tc>
          <w:tcPr>
            <w:tcW w:w="152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40,000,000 shares</w:t>
            </w:r>
          </w:p>
        </w:tc>
      </w:tr>
      <w:tr>
        <w:trPr>
          <w:trHeight w:val="216"/>
        </w:trPr>
        <w:tc>
          <w:tcPr>
            <w:tcW w:w="9020" w:type="dxa"/>
            <w:vAlign w:val="bottom"/>
          </w:tcPr>
          <w:p>
            <w:pPr>
              <w:spacing w:after="0"/>
              <w:rPr>
                <w:sz w:val="20"/>
                <w:szCs w:val="20"/>
                <w:color w:val="auto"/>
              </w:rPr>
            </w:pPr>
            <w:r>
              <w:rPr>
                <w:rFonts w:ascii="Times New Roman" w:cs="Times New Roman" w:eastAsia="Times New Roman" w:hAnsi="Times New Roman"/>
                <w:sz w:val="18"/>
                <w:szCs w:val="18"/>
                <w:color w:val="auto"/>
              </w:rPr>
              <w:t>Issued ordinary shares</w:t>
            </w:r>
          </w:p>
        </w:tc>
        <w:tc>
          <w:tcPr>
            <w:tcW w:w="700" w:type="dxa"/>
            <w:vAlign w:val="bottom"/>
          </w:tcPr>
          <w:p>
            <w:pPr>
              <w:spacing w:after="0"/>
              <w:rPr>
                <w:sz w:val="18"/>
                <w:szCs w:val="18"/>
                <w:color w:val="auto"/>
              </w:rPr>
            </w:pPr>
          </w:p>
        </w:tc>
        <w:tc>
          <w:tcPr>
            <w:tcW w:w="152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13,879,521 shares</w:t>
            </w:r>
          </w:p>
        </w:tc>
      </w:tr>
      <w:tr>
        <w:trPr>
          <w:trHeight w:val="216"/>
        </w:trPr>
        <w:tc>
          <w:tcPr>
            <w:tcW w:w="9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Par value per share</w:t>
            </w: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KRW 500</w:t>
            </w:r>
          </w:p>
        </w:tc>
      </w:tr>
      <w:tr>
        <w:trPr>
          <w:trHeight w:val="303"/>
        </w:trPr>
        <w:tc>
          <w:tcPr>
            <w:tcW w:w="9020" w:type="dxa"/>
            <w:vAlign w:val="bottom"/>
          </w:tcPr>
          <w:p>
            <w:pPr>
              <w:spacing w:after="0"/>
              <w:rPr>
                <w:sz w:val="20"/>
                <w:szCs w:val="20"/>
                <w:color w:val="auto"/>
              </w:rPr>
            </w:pPr>
            <w:r>
              <w:rPr>
                <w:rFonts w:ascii="Times New Roman" w:cs="Times New Roman" w:eastAsia="Times New Roman" w:hAnsi="Times New Roman"/>
                <w:sz w:val="18"/>
                <w:szCs w:val="18"/>
                <w:color w:val="auto"/>
              </w:rPr>
              <w:t>Share capital</w:t>
            </w:r>
          </w:p>
        </w:tc>
        <w:tc>
          <w:tcPr>
            <w:tcW w:w="9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3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6,939,761</w:t>
            </w:r>
          </w:p>
        </w:tc>
      </w:tr>
      <w:tr>
        <w:trPr>
          <w:trHeight w:val="345"/>
        </w:trPr>
        <w:tc>
          <w:tcPr>
            <w:tcW w:w="9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  Changes in shares outstanding</w:t>
            </w: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9020" w:type="dxa"/>
            <w:vAlign w:val="bottom"/>
          </w:tcPr>
          <w:p>
            <w:pPr>
              <w:spacing w:after="0"/>
              <w:rPr>
                <w:sz w:val="20"/>
                <w:szCs w:val="20"/>
                <w:color w:val="auto"/>
              </w:rPr>
            </w:pPr>
            <w:r>
              <w:rPr>
                <w:rFonts w:ascii="Times New Roman" w:cs="Times New Roman" w:eastAsia="Times New Roman" w:hAnsi="Times New Roman"/>
                <w:sz w:val="18"/>
                <w:szCs w:val="18"/>
                <w:color w:val="auto"/>
              </w:rPr>
              <w:t>There were no changes in the number of shares outstanding for the year ended December 31, 2025 (13,662,476 shares).</w:t>
            </w: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9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21. Other reserves</w:t>
            </w: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9020" w:type="dxa"/>
            <w:vAlign w:val="bottom"/>
          </w:tcPr>
          <w:p>
            <w:pPr>
              <w:spacing w:after="0"/>
              <w:rPr>
                <w:sz w:val="20"/>
                <w:szCs w:val="20"/>
                <w:color w:val="auto"/>
              </w:rPr>
            </w:pPr>
            <w:r>
              <w:rPr>
                <w:rFonts w:ascii="Times New Roman" w:cs="Times New Roman" w:eastAsia="Times New Roman" w:hAnsi="Times New Roman"/>
                <w:sz w:val="18"/>
                <w:szCs w:val="18"/>
                <w:color w:val="auto"/>
              </w:rPr>
              <w:t>Composition of Other reserves as of December 31, 2025 is as follows:</w:t>
            </w: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90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8"/>
        </w:trPr>
        <w:tc>
          <w:tcPr>
            <w:tcW w:w="90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20"/>
                <w:szCs w:val="20"/>
                <w:color w:val="auto"/>
              </w:rPr>
            </w:pPr>
          </w:p>
        </w:tc>
      </w:tr>
      <w:tr>
        <w:trPr>
          <w:trHeight w:val="187"/>
        </w:trPr>
        <w:tc>
          <w:tcPr>
            <w:tcW w:w="90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8"/>
              </w:rPr>
              <w:t>(In thousands</w:t>
            </w:r>
          </w:p>
        </w:tc>
        <w:tc>
          <w:tcPr>
            <w:tcW w:w="100" w:type="dxa"/>
            <w:vAlign w:val="bottom"/>
          </w:tcPr>
          <w:p>
            <w:pPr>
              <w:spacing w:after="0"/>
              <w:rPr>
                <w:sz w:val="16"/>
                <w:szCs w:val="16"/>
                <w:color w:val="auto"/>
              </w:rPr>
            </w:pPr>
          </w:p>
        </w:tc>
      </w:tr>
      <w:tr>
        <w:trPr>
          <w:trHeight w:val="216"/>
        </w:trPr>
        <w:tc>
          <w:tcPr>
            <w:tcW w:w="90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of Korean</w:t>
            </w:r>
          </w:p>
        </w:tc>
      </w:tr>
      <w:tr>
        <w:trPr>
          <w:trHeight w:val="238"/>
        </w:trPr>
        <w:tc>
          <w:tcPr>
            <w:tcW w:w="90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won)</w:t>
            </w:r>
          </w:p>
        </w:tc>
      </w:tr>
      <w:tr>
        <w:trPr>
          <w:trHeight w:val="216"/>
        </w:trPr>
        <w:tc>
          <w:tcPr>
            <w:tcW w:w="9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paid-in capital</w:t>
            </w: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 premium</w:t>
            </w:r>
          </w:p>
        </w:tc>
        <w:tc>
          <w:tcPr>
            <w:tcW w:w="700" w:type="dxa"/>
            <w:vAlign w:val="bottom"/>
          </w:tcPr>
          <w:p>
            <w:pPr>
              <w:spacing w:after="0"/>
              <w:rPr>
                <w:sz w:val="18"/>
                <w:szCs w:val="18"/>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w w:val="93"/>
              </w:rPr>
              <w:t>₩</w:t>
            </w:r>
          </w:p>
        </w:tc>
        <w:tc>
          <w:tcPr>
            <w:tcW w:w="13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9,730,846</w:t>
            </w:r>
          </w:p>
        </w:tc>
      </w:tr>
      <w:tr>
        <w:trPr>
          <w:trHeight w:val="216"/>
        </w:trPr>
        <w:tc>
          <w:tcPr>
            <w:tcW w:w="9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Treasury shares</w:t>
            </w: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(451,821)</w:t>
            </w:r>
          </w:p>
        </w:tc>
      </w:tr>
      <w:tr>
        <w:trPr>
          <w:trHeight w:val="216"/>
        </w:trPr>
        <w:tc>
          <w:tcPr>
            <w:tcW w:w="9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Gain on disposal of treasury shares</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529,131</w:t>
            </w:r>
          </w:p>
        </w:tc>
      </w:tr>
      <w:tr>
        <w:trPr>
          <w:trHeight w:val="216"/>
        </w:trPr>
        <w:tc>
          <w:tcPr>
            <w:tcW w:w="9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 options (*)</w:t>
            </w: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46,595</w:t>
            </w:r>
          </w:p>
        </w:tc>
      </w:tr>
      <w:tr>
        <w:trPr>
          <w:trHeight w:val="216"/>
        </w:trPr>
        <w:tc>
          <w:tcPr>
            <w:tcW w:w="9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Others</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581,770</w:t>
            </w:r>
          </w:p>
        </w:tc>
      </w:tr>
      <w:tr>
        <w:trPr>
          <w:trHeight w:val="216"/>
        </w:trPr>
        <w:tc>
          <w:tcPr>
            <w:tcW w:w="9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components of equity</w:t>
            </w: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9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Changes in equity under the equity method</w:t>
            </w: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(401)</w:t>
            </w:r>
          </w:p>
        </w:tc>
      </w:tr>
      <w:tr>
        <w:trPr>
          <w:trHeight w:val="223"/>
        </w:trPr>
        <w:tc>
          <w:tcPr>
            <w:tcW w:w="9020" w:type="dxa"/>
            <w:vAlign w:val="bottom"/>
            <w:tcBorders>
              <w:top w:val="single" w:sz="8" w:color="CCEEFF"/>
              <w:bottom w:val="single" w:sz="8" w:color="CCEEFF"/>
            </w:tcBorders>
            <w:shd w:val="clear" w:color="auto" w:fill="CCEEFF"/>
          </w:tcPr>
          <w:p>
            <w:pPr>
              <w:ind w:left="4720"/>
              <w:spacing w:after="0"/>
              <w:rPr>
                <w:sz w:val="20"/>
                <w:szCs w:val="20"/>
                <w:color w:val="auto"/>
              </w:rPr>
            </w:pPr>
            <w:r>
              <w:rPr>
                <w:rFonts w:ascii="Times New Roman" w:cs="Times New Roman" w:eastAsia="Times New Roman" w:hAnsi="Times New Roman"/>
                <w:sz w:val="18"/>
                <w:szCs w:val="18"/>
                <w:color w:val="auto"/>
              </w:rPr>
              <w:t>Total</w:t>
            </w:r>
          </w:p>
        </w:tc>
        <w:tc>
          <w:tcPr>
            <w:tcW w:w="7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3"/>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10,436,120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90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Detailed information on share options is described in Note 32.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9" w:name="page40"/>
    <w:bookmarkEnd w:id="39"/>
    <w:p>
      <w:pPr>
        <w:jc w:val="center"/>
        <w:ind w:left="2219"/>
        <w:spacing w:after="0"/>
        <w:rPr>
          <w:sz w:val="20"/>
          <w:szCs w:val="20"/>
          <w:color w:val="auto"/>
        </w:rPr>
      </w:pPr>
      <w:r>
        <w:rPr>
          <w:rFonts w:ascii="Times New Roman" w:cs="Times New Roman" w:eastAsia="Times New Roman" w:hAnsi="Times New Roman"/>
          <w:sz w:val="18"/>
          <w:szCs w:val="18"/>
          <w:b w:val="1"/>
          <w:bCs w:val="1"/>
          <w:color w:val="auto"/>
        </w:rPr>
        <w:t>HANSOL INTICUBE CO., LTD.</w:t>
      </w:r>
    </w:p>
    <w:p>
      <w:pPr>
        <w:spacing w:after="0" w:line="31" w:lineRule="exact"/>
        <w:rPr>
          <w:sz w:val="20"/>
          <w:szCs w:val="20"/>
          <w:color w:val="auto"/>
        </w:rPr>
      </w:pPr>
    </w:p>
    <w:p>
      <w:pPr>
        <w:jc w:val="center"/>
        <w:ind w:left="22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22. Accumulated Deficit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Composition of accumulated deficit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Composition of accumulated deficit as of December 31, 2025 is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Legal 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Accumulated deficit</w:t>
      </w:r>
    </w:p>
    <w:p>
      <w:pPr>
        <w:spacing w:after="0" w:line="9" w:lineRule="exact"/>
        <w:rPr>
          <w:sz w:val="20"/>
          <w:szCs w:val="20"/>
          <w:color w:val="auto"/>
        </w:rPr>
      </w:pPr>
    </w:p>
    <w:p>
      <w:pPr>
        <w:jc w:val="center"/>
        <w:ind w:left="779"/>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543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186055</wp:posOffset>
            </wp:positionV>
            <wp:extent cx="17830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78"/>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31" w:lineRule="exact"/>
        <w:rPr>
          <w:sz w:val="20"/>
          <w:szCs w:val="20"/>
          <w:color w:val="auto"/>
        </w:rPr>
      </w:pPr>
    </w:p>
    <w:p>
      <w:pPr>
        <w:jc w:val="center"/>
        <w:ind w:right="-178"/>
        <w:spacing w:after="0"/>
        <w:rPr>
          <w:sz w:val="20"/>
          <w:szCs w:val="20"/>
          <w:color w:val="auto"/>
        </w:rPr>
      </w:pPr>
      <w:r>
        <w:rPr>
          <w:rFonts w:ascii="Times New Roman" w:cs="Times New Roman" w:eastAsia="Times New Roman" w:hAnsi="Times New Roman"/>
          <w:sz w:val="18"/>
          <w:szCs w:val="18"/>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180340</wp:posOffset>
            </wp:positionH>
            <wp:positionV relativeFrom="paragraph">
              <wp:posOffset>5715</wp:posOffset>
            </wp:positionV>
            <wp:extent cx="70294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02945" cy="8255"/>
                    </a:xfrm>
                    <a:prstGeom prst="rect">
                      <a:avLst/>
                    </a:prstGeom>
                    <a:noFill/>
                  </pic:spPr>
                </pic:pic>
              </a:graphicData>
            </a:graphic>
          </wp:anchor>
        </w:drawing>
      </w:r>
    </w:p>
    <w:p>
      <w:pPr>
        <w:jc w:val="center"/>
        <w:ind w:right="-178"/>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3" w:lineRule="exact"/>
        <w:rPr>
          <w:sz w:val="20"/>
          <w:szCs w:val="20"/>
          <w:color w:val="auto"/>
        </w:rPr>
      </w:pPr>
    </w:p>
    <w:p>
      <w:pPr>
        <w:jc w:val="center"/>
        <w:ind w:right="-178"/>
        <w:spacing w:after="0"/>
        <w:rPr>
          <w:sz w:val="20"/>
          <w:szCs w:val="20"/>
          <w:color w:val="auto"/>
        </w:rPr>
      </w:pPr>
      <w:r>
        <w:rPr>
          <w:rFonts w:ascii="Times New Roman" w:cs="Times New Roman" w:eastAsia="Times New Roman" w:hAnsi="Times New Roman"/>
          <w:sz w:val="18"/>
          <w:szCs w:val="18"/>
          <w:b w:val="1"/>
          <w:bCs w:val="1"/>
          <w:color w:val="auto"/>
        </w:rPr>
        <w:t>of Korean</w:t>
      </w:r>
    </w:p>
    <w:p>
      <w:pPr>
        <w:spacing w:after="0" w:line="9" w:lineRule="exact"/>
        <w:rPr>
          <w:sz w:val="20"/>
          <w:szCs w:val="20"/>
          <w:color w:val="auto"/>
        </w:rPr>
      </w:pPr>
    </w:p>
    <w:p>
      <w:pPr>
        <w:jc w:val="center"/>
        <w:ind w:right="-178"/>
        <w:spacing w:after="0"/>
        <w:rPr>
          <w:sz w:val="20"/>
          <w:szCs w:val="20"/>
          <w:color w:val="auto"/>
        </w:rPr>
      </w:pPr>
      <w:r>
        <w:rPr>
          <w:rFonts w:ascii="Times New Roman" w:cs="Times New Roman" w:eastAsia="Times New Roman" w:hAnsi="Times New Roman"/>
          <w:sz w:val="18"/>
          <w:szCs w:val="18"/>
          <w:b w:val="1"/>
          <w:bCs w:val="1"/>
          <w:color w:val="auto"/>
        </w:rPr>
        <w:t>won)</w:t>
      </w:r>
    </w:p>
    <w:p>
      <w:pPr>
        <w:spacing w:after="0" w:line="4" w:lineRule="exact"/>
        <w:rPr>
          <w:sz w:val="20"/>
          <w:szCs w:val="20"/>
          <w:color w:val="auto"/>
        </w:rPr>
      </w:pPr>
    </w:p>
    <w:p>
      <w:pPr>
        <w:ind w:left="799" w:hanging="799"/>
        <w:spacing w:after="0"/>
        <w:tabs>
          <w:tab w:leader="none" w:pos="799" w:val="left"/>
        </w:tabs>
        <w:numPr>
          <w:ilvl w:val="0"/>
          <w:numId w:val="64"/>
        </w:numPr>
        <w:rPr>
          <w:rFonts w:ascii="Arial" w:cs="Arial" w:eastAsia="Arial" w:hAnsi="Arial"/>
          <w:sz w:val="18"/>
          <w:szCs w:val="18"/>
          <w:color w:val="auto"/>
        </w:rPr>
      </w:pPr>
      <w:r>
        <w:rPr>
          <w:rFonts w:ascii="Times New Roman" w:cs="Times New Roman" w:eastAsia="Times New Roman" w:hAnsi="Times New Roman"/>
          <w:sz w:val="18"/>
          <w:szCs w:val="18"/>
          <w:color w:val="auto"/>
        </w:rPr>
        <w:t>460,719</w:t>
      </w:r>
    </w:p>
    <w:p>
      <w:pPr>
        <w:spacing w:after="0" w:line="28" w:lineRule="exact"/>
        <w:rPr>
          <w:rFonts w:ascii="Arial" w:cs="Arial" w:eastAsia="Arial" w:hAnsi="Arial"/>
          <w:sz w:val="18"/>
          <w:szCs w:val="18"/>
          <w:color w:val="auto"/>
        </w:rPr>
      </w:pPr>
    </w:p>
    <w:p>
      <w:pPr>
        <w:ind w:left="619"/>
        <w:spacing w:after="0"/>
        <w:rPr>
          <w:rFonts w:ascii="Arial" w:cs="Arial" w:eastAsia="Arial" w:hAnsi="Arial"/>
          <w:sz w:val="18"/>
          <w:szCs w:val="18"/>
          <w:color w:val="auto"/>
        </w:rPr>
      </w:pPr>
      <w:r>
        <w:rPr>
          <w:rFonts w:ascii="Times New Roman" w:cs="Times New Roman" w:eastAsia="Times New Roman" w:hAnsi="Times New Roman"/>
          <w:sz w:val="18"/>
          <w:szCs w:val="18"/>
          <w:color w:val="auto"/>
        </w:rPr>
        <w:t>(4,807,056)</w:t>
      </w:r>
    </w:p>
    <w:p>
      <w:pPr>
        <w:spacing w:after="0" w:line="7" w:lineRule="exact"/>
        <w:rPr>
          <w:rFonts w:ascii="Arial" w:cs="Arial" w:eastAsia="Arial" w:hAnsi="Arial"/>
          <w:sz w:val="18"/>
          <w:szCs w:val="18"/>
          <w:color w:val="auto"/>
        </w:rPr>
      </w:pPr>
    </w:p>
    <w:p>
      <w:pPr>
        <w:ind w:left="619" w:hanging="619"/>
        <w:spacing w:after="0"/>
        <w:tabs>
          <w:tab w:leader="none" w:pos="619" w:val="left"/>
        </w:tabs>
        <w:numPr>
          <w:ilvl w:val="0"/>
          <w:numId w:val="64"/>
        </w:numPr>
        <w:rPr>
          <w:rFonts w:ascii="Arial" w:cs="Arial" w:eastAsia="Arial" w:hAnsi="Arial"/>
          <w:sz w:val="18"/>
          <w:szCs w:val="18"/>
          <w:color w:val="auto"/>
        </w:rPr>
      </w:pPr>
      <w:r>
        <w:rPr>
          <w:rFonts w:ascii="Times New Roman" w:cs="Times New Roman" w:eastAsia="Times New Roman" w:hAnsi="Times New Roman"/>
          <w:sz w:val="18"/>
          <w:szCs w:val="18"/>
          <w:color w:val="auto"/>
        </w:rPr>
        <w:t>(4,346,337)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180340</wp:posOffset>
            </wp:positionH>
            <wp:positionV relativeFrom="paragraph">
              <wp:posOffset>31115</wp:posOffset>
            </wp:positionV>
            <wp:extent cx="70294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0294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021" w:space="720"/>
            <w:col w:w="1499"/>
          </w:cols>
          <w:pgMar w:left="320" w:top="765" w:right="339" w:bottom="1440" w:gutter="0" w:footer="0" w:header="0"/>
        </w:sectPr>
      </w:pPr>
    </w:p>
    <w:p>
      <w:pPr>
        <w:spacing w:after="0" w:line="87" w:lineRule="exact"/>
        <w:rPr>
          <w:sz w:val="20"/>
          <w:szCs w:val="20"/>
          <w:color w:val="auto"/>
        </w:rPr>
      </w:pPr>
    </w:p>
    <w:p>
      <w:pPr>
        <w:jc w:val="both"/>
        <w:ind w:left="340" w:hanging="332"/>
        <w:spacing w:after="0" w:line="266" w:lineRule="auto"/>
        <w:tabs>
          <w:tab w:leader="none" w:pos="3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the Korean Commercial Code, the Group is required to appropriate at least 10% of cash dividends for each accounting period as a legal reserve until such reserve reaches 50% of paid-in capital. This reserve may not be used for cash dividends but may be used to offset deficits or be transferred to capital.</w:t>
      </w:r>
    </w:p>
    <w:p>
      <w:pPr>
        <w:spacing w:after="0" w:line="172"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B.</w:t>
      </w:r>
      <w:r>
        <w:rPr>
          <w:sz w:val="20"/>
          <w:szCs w:val="20"/>
          <w:color w:val="auto"/>
        </w:rPr>
        <w:tab/>
      </w:r>
      <w:r>
        <w:rPr>
          <w:rFonts w:ascii="Times New Roman" w:cs="Times New Roman" w:eastAsia="Times New Roman" w:hAnsi="Times New Roman"/>
          <w:sz w:val="17"/>
          <w:szCs w:val="17"/>
          <w:b w:val="1"/>
          <w:bCs w:val="1"/>
          <w:color w:val="auto"/>
        </w:rPr>
        <w:t>Changes in accumulated deficit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accumulated deficit for the year ended December 31, 2025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6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20"/>
                <w:szCs w:val="20"/>
                <w:color w:val="auto"/>
              </w:rPr>
            </w:pPr>
          </w:p>
        </w:tc>
      </w:tr>
      <w:tr>
        <w:trPr>
          <w:trHeight w:val="187"/>
        </w:trPr>
        <w:tc>
          <w:tcPr>
            <w:tcW w:w="4560" w:type="dxa"/>
            <w:vAlign w:val="bottom"/>
          </w:tcPr>
          <w:p>
            <w:pPr>
              <w:spacing w:after="0"/>
              <w:rPr>
                <w:sz w:val="16"/>
                <w:szCs w:val="16"/>
                <w:color w:val="auto"/>
              </w:rPr>
            </w:pPr>
          </w:p>
        </w:tc>
        <w:tc>
          <w:tcPr>
            <w:tcW w:w="5460" w:type="dxa"/>
            <w:vAlign w:val="bottom"/>
          </w:tcPr>
          <w:p>
            <w:pPr>
              <w:spacing w:after="0"/>
              <w:rPr>
                <w:sz w:val="16"/>
                <w:szCs w:val="16"/>
                <w:color w:val="auto"/>
              </w:rPr>
            </w:pPr>
          </w:p>
        </w:tc>
        <w:tc>
          <w:tcPr>
            <w:tcW w:w="112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8"/>
              </w:rPr>
              <w:t>(In thousands</w:t>
            </w:r>
          </w:p>
        </w:tc>
        <w:tc>
          <w:tcPr>
            <w:tcW w:w="100" w:type="dxa"/>
            <w:vAlign w:val="bottom"/>
          </w:tcPr>
          <w:p>
            <w:pPr>
              <w:spacing w:after="0"/>
              <w:rPr>
                <w:sz w:val="16"/>
                <w:szCs w:val="16"/>
                <w:color w:val="auto"/>
              </w:rPr>
            </w:pPr>
          </w:p>
        </w:tc>
      </w:tr>
      <w:tr>
        <w:trPr>
          <w:trHeight w:val="216"/>
        </w:trPr>
        <w:tc>
          <w:tcPr>
            <w:tcW w:w="456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of Korean</w:t>
            </w:r>
          </w:p>
        </w:tc>
      </w:tr>
      <w:tr>
        <w:trPr>
          <w:trHeight w:val="238"/>
        </w:trPr>
        <w:tc>
          <w:tcPr>
            <w:tcW w:w="456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won)</w:t>
            </w:r>
          </w:p>
        </w:tc>
      </w:t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5460" w:type="dxa"/>
            <w:vAlign w:val="bottom"/>
            <w:shd w:val="clear" w:color="auto" w:fill="CCEEFF"/>
          </w:tcPr>
          <w:p>
            <w:pPr>
              <w:ind w:left="518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(4,809,876)</w:t>
            </w:r>
          </w:p>
        </w:tc>
      </w:tr>
      <w:tr>
        <w:trPr>
          <w:trHeight w:val="216"/>
        </w:trPr>
        <w:tc>
          <w:tcPr>
            <w:tcW w:w="4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Remeasurements of defined benefit obligations</w:t>
            </w:r>
          </w:p>
        </w:tc>
        <w:tc>
          <w:tcPr>
            <w:tcW w:w="546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(330,591)</w:t>
            </w:r>
          </w:p>
        </w:tc>
      </w:tr>
      <w:tr>
        <w:trPr>
          <w:trHeight w:val="216"/>
        </w:trPr>
        <w:tc>
          <w:tcPr>
            <w:tcW w:w="4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Profit for the year</w:t>
            </w:r>
          </w:p>
        </w:tc>
        <w:tc>
          <w:tcPr>
            <w:tcW w:w="54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794,130</w:t>
            </w:r>
          </w:p>
        </w:tc>
      </w:tr>
      <w:tr>
        <w:trPr>
          <w:trHeight w:val="303"/>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5460" w:type="dxa"/>
            <w:vAlign w:val="bottom"/>
          </w:tcPr>
          <w:p>
            <w:pPr>
              <w:ind w:left="518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(4,346,337)</w:t>
            </w:r>
          </w:p>
        </w:tc>
      </w:tr>
      <w:tr>
        <w:trPr>
          <w:trHeight w:val="474"/>
        </w:trPr>
        <w:tc>
          <w:tcPr>
            <w:tcW w:w="4560" w:type="dxa"/>
            <w:vAlign w:val="bottom"/>
            <w:tcBorders>
              <w:bottom w:val="single" w:sz="8" w:color="auto"/>
            </w:tcBorders>
          </w:tcPr>
          <w:p>
            <w:pPr>
              <w:spacing w:after="0"/>
              <w:rPr>
                <w:sz w:val="24"/>
                <w:szCs w:val="24"/>
                <w:color w:val="auto"/>
              </w:rPr>
            </w:pPr>
          </w:p>
        </w:tc>
        <w:tc>
          <w:tcPr>
            <w:tcW w:w="5460" w:type="dxa"/>
            <w:vAlign w:val="bottom"/>
            <w:tcBorders>
              <w:bottom w:val="single" w:sz="8" w:color="auto"/>
            </w:tcBorders>
          </w:tcPr>
          <w:p>
            <w:pPr>
              <w:jc w:val="right"/>
              <w:ind w:right="4210"/>
              <w:spacing w:after="0"/>
              <w:rPr>
                <w:sz w:val="20"/>
                <w:szCs w:val="20"/>
                <w:color w:val="auto"/>
              </w:rPr>
            </w:pPr>
            <w:r>
              <w:rPr>
                <w:rFonts w:ascii="Times New Roman" w:cs="Times New Roman" w:eastAsia="Times New Roman" w:hAnsi="Times New Roman"/>
                <w:sz w:val="18"/>
                <w:szCs w:val="18"/>
                <w:color w:val="auto"/>
              </w:rPr>
              <w:t>37</w:t>
            </w: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65" w:right="339" w:bottom="1440" w:gutter="0" w:footer="0" w:header="0"/>
          <w:type w:val="continuous"/>
        </w:sectPr>
      </w:pPr>
    </w:p>
    <w:bookmarkStart w:id="40" w:name="page41"/>
    <w:bookmarkEnd w:id="40"/>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HANSOL INTICUBE CO., LTD.</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23. Revenue</w:t>
      </w:r>
    </w:p>
    <w:p>
      <w:pPr>
        <w:sectPr>
          <w:pgSz w:w="11900" w:h="16838" w:orient="portrait"/>
          <w:cols w:equalWidth="0" w:num="1">
            <w:col w:w="11140"/>
          </w:cols>
          <w:pgMar w:left="320" w:top="765" w:right="439" w:bottom="1440" w:gutter="0" w:footer="0" w:header="0"/>
        </w:sect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from continuing operations for the year ended December 31, 2025 is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recognized over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Construction-type contracts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Maintenance contracts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Usage-based contracts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Other contracts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recognized at a point in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Product contracts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Other contracts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543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jc w:val="center"/>
        <w:ind w:left="780"/>
        <w:spacing w:after="0"/>
        <w:rPr>
          <w:sz w:val="20"/>
          <w:szCs w:val="20"/>
          <w:color w:val="auto"/>
        </w:rPr>
      </w:pPr>
      <w:r>
        <w:rPr>
          <w:rFonts w:ascii="Times New Roman" w:cs="Times New Roman" w:eastAsia="Times New Roman" w:hAnsi="Times New Roman"/>
          <w:sz w:val="18"/>
          <w:szCs w:val="18"/>
          <w:color w:val="auto"/>
        </w:rPr>
        <w:t>Total</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24. Cost of Sales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180975</wp:posOffset>
            </wp:positionH>
            <wp:positionV relativeFrom="paragraph">
              <wp:posOffset>19685</wp:posOffset>
            </wp:positionV>
            <wp:extent cx="70294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02945" cy="8890"/>
                    </a:xfrm>
                    <a:prstGeom prst="rect">
                      <a:avLst/>
                    </a:prstGeom>
                    <a:noFill/>
                  </pic:spPr>
                </pic:pic>
              </a:graphicData>
            </a:graphic>
          </wp:anchor>
        </w:drawing>
      </w:r>
    </w:p>
    <w:p>
      <w:pPr>
        <w:spacing w:after="0" w:line="1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3"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of Korean</w:t>
      </w:r>
    </w:p>
    <w:p>
      <w:pPr>
        <w:spacing w:after="0" w:line="9"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won)</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35,137,288</w:t>
      </w:r>
    </w:p>
    <w:p>
      <w:pPr>
        <w:spacing w:after="0" w:line="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24,241,389</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269,440</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159,924</w:t>
      </w:r>
    </w:p>
    <w:p>
      <w:pPr>
        <w:spacing w:after="0" w:line="20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4,863,080</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147,121</w:t>
      </w:r>
    </w:p>
    <w:p>
      <w:pPr>
        <w:spacing w:after="0" w:line="9" w:lineRule="exact"/>
        <w:rPr>
          <w:sz w:val="20"/>
          <w:szCs w:val="20"/>
          <w:color w:val="auto"/>
        </w:rPr>
      </w:pPr>
    </w:p>
    <w:p>
      <w:pPr>
        <w:ind w:left="580" w:hanging="579"/>
        <w:spacing w:after="0"/>
        <w:tabs>
          <w:tab w:leader="none" w:pos="580" w:val="left"/>
        </w:tabs>
        <w:numPr>
          <w:ilvl w:val="0"/>
          <w:numId w:val="66"/>
        </w:numPr>
        <w:rPr>
          <w:rFonts w:ascii="Arial" w:cs="Arial" w:eastAsia="Arial" w:hAnsi="Arial"/>
          <w:sz w:val="18"/>
          <w:szCs w:val="18"/>
          <w:color w:val="auto"/>
        </w:rPr>
      </w:pPr>
      <w:r>
        <w:rPr>
          <w:rFonts w:ascii="Times New Roman" w:cs="Times New Roman" w:eastAsia="Times New Roman" w:hAnsi="Times New Roman"/>
          <w:sz w:val="18"/>
          <w:szCs w:val="18"/>
          <w:color w:val="auto"/>
        </w:rPr>
        <w:t>64,818,242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180975</wp:posOffset>
            </wp:positionH>
            <wp:positionV relativeFrom="paragraph">
              <wp:posOffset>31115</wp:posOffset>
            </wp:positionV>
            <wp:extent cx="70294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02945" cy="8890"/>
                    </a:xfrm>
                    <a:prstGeom prst="rect">
                      <a:avLst/>
                    </a:prstGeom>
                    <a:noFill/>
                  </pic:spPr>
                </pic:pic>
              </a:graphicData>
            </a:graphic>
          </wp:anchor>
        </w:drawing>
      </w:r>
    </w:p>
    <w:p>
      <w:pPr>
        <w:spacing w:after="0" w:line="662" w:lineRule="exact"/>
        <w:rPr>
          <w:sz w:val="20"/>
          <w:szCs w:val="20"/>
          <w:color w:val="auto"/>
        </w:rPr>
      </w:pPr>
    </w:p>
    <w:p>
      <w:pPr>
        <w:sectPr>
          <w:pgSz w:w="11900" w:h="16838" w:orient="portrait"/>
          <w:cols w:equalWidth="0" w:num="2">
            <w:col w:w="9020" w:space="720"/>
            <w:col w:w="1400"/>
          </w:cols>
          <w:pgMar w:left="320" w:top="765" w:right="439" w:bottom="1440" w:gutter="0" w:footer="0" w:header="0"/>
          <w:type w:val="continuous"/>
        </w:sectPr>
      </w:pP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Expenses classified as cost of sales from continuing operations for the year ended December 31, 2025 are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Costs recognized over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Construction-type contracts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Maintenance contracts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Usage-based contracts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Costs recognized at a point in time</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Product contracts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Other contracts</w:t>
      </w:r>
    </w:p>
    <w:p>
      <w:pPr>
        <w:spacing w:after="0" w:line="9" w:lineRule="exact"/>
        <w:rPr>
          <w:sz w:val="20"/>
          <w:szCs w:val="20"/>
          <w:color w:val="auto"/>
        </w:rPr>
      </w:pPr>
    </w:p>
    <w:p>
      <w:pPr>
        <w:jc w:val="center"/>
        <w:ind w:left="94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180975</wp:posOffset>
            </wp:positionH>
            <wp:positionV relativeFrom="paragraph">
              <wp:posOffset>19685</wp:posOffset>
            </wp:positionV>
            <wp:extent cx="70294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02945" cy="8255"/>
                    </a:xfrm>
                    <a:prstGeom prst="rect">
                      <a:avLst/>
                    </a:prstGeom>
                    <a:noFill/>
                  </pic:spPr>
                </pic:pic>
              </a:graphicData>
            </a:graphic>
          </wp:anchor>
        </w:drawing>
      </w:r>
    </w:p>
    <w:p>
      <w:pPr>
        <w:spacing w:after="0" w:line="1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3"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of Korean</w:t>
      </w:r>
    </w:p>
    <w:p>
      <w:pPr>
        <w:spacing w:after="0" w:line="9"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won)</w:t>
      </w:r>
    </w:p>
    <w:p>
      <w:pPr>
        <w:spacing w:after="0" w:line="4" w:lineRule="exact"/>
        <w:rPr>
          <w:sz w:val="20"/>
          <w:szCs w:val="20"/>
          <w:color w:val="auto"/>
        </w:rPr>
      </w:pPr>
    </w:p>
    <w:p>
      <w:pPr>
        <w:jc w:val="center"/>
        <w:ind w:right="1220"/>
        <w:spacing w:after="0"/>
        <w:rPr>
          <w:sz w:val="20"/>
          <w:szCs w:val="20"/>
          <w:color w:val="auto"/>
        </w:rPr>
      </w:pPr>
      <w:r>
        <w:rPr>
          <w:rFonts w:ascii="Arial" w:cs="Arial" w:eastAsia="Arial" w:hAnsi="Arial"/>
          <w:sz w:val="18"/>
          <w:szCs w:val="18"/>
          <w:color w:val="auto"/>
        </w:rPr>
        <w:t>₩</w:t>
      </w:r>
    </w:p>
    <w:p>
      <w:pPr>
        <w:spacing w:after="0" w:line="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28,485,737</w:t>
      </w:r>
    </w:p>
    <w:p>
      <w:pPr>
        <w:spacing w:after="0" w:line="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17,830,971</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325,985</w:t>
      </w:r>
    </w:p>
    <w:p>
      <w:pPr>
        <w:spacing w:after="0" w:line="20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2,588,394</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50,009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180975</wp:posOffset>
            </wp:positionH>
            <wp:positionV relativeFrom="paragraph">
              <wp:posOffset>5715</wp:posOffset>
            </wp:positionV>
            <wp:extent cx="70294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02945" cy="8890"/>
                    </a:xfrm>
                    <a:prstGeom prst="rect">
                      <a:avLst/>
                    </a:prstGeom>
                    <a:noFill/>
                  </pic:spPr>
                </pic:pic>
              </a:graphicData>
            </a:graphic>
          </wp:anchor>
        </w:drawing>
      </w:r>
    </w:p>
    <w:p>
      <w:pPr>
        <w:ind w:left="580" w:hanging="579"/>
        <w:spacing w:after="0"/>
        <w:tabs>
          <w:tab w:leader="none" w:pos="580" w:val="left"/>
        </w:tabs>
        <w:numPr>
          <w:ilvl w:val="0"/>
          <w:numId w:val="67"/>
        </w:numPr>
        <w:rPr>
          <w:rFonts w:ascii="Arial" w:cs="Arial" w:eastAsia="Arial" w:hAnsi="Arial"/>
          <w:sz w:val="18"/>
          <w:szCs w:val="18"/>
          <w:color w:val="auto"/>
        </w:rPr>
      </w:pPr>
      <w:r>
        <w:rPr>
          <w:rFonts w:ascii="Times New Roman" w:cs="Times New Roman" w:eastAsia="Times New Roman" w:hAnsi="Times New Roman"/>
          <w:sz w:val="18"/>
          <w:szCs w:val="18"/>
          <w:color w:val="auto"/>
        </w:rPr>
        <w:t>49,281,096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180975</wp:posOffset>
            </wp:positionH>
            <wp:positionV relativeFrom="paragraph">
              <wp:posOffset>13970</wp:posOffset>
            </wp:positionV>
            <wp:extent cx="70294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02945" cy="8255"/>
                    </a:xfrm>
                    <a:prstGeom prst="rect">
                      <a:avLst/>
                    </a:prstGeom>
                    <a:noFill/>
                  </pic:spPr>
                </pic:pic>
              </a:graphicData>
            </a:graphic>
          </wp:anchor>
        </w:drawing>
        <w:drawing>
          <wp:anchor simplePos="0" relativeHeight="251657728" behindDoc="1" locked="0" layoutInCell="0" allowOverlap="1">
            <wp:simplePos x="0" y="0"/>
            <wp:positionH relativeFrom="column">
              <wp:posOffset>180975</wp:posOffset>
            </wp:positionH>
            <wp:positionV relativeFrom="paragraph">
              <wp:posOffset>31115</wp:posOffset>
            </wp:positionV>
            <wp:extent cx="70294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0294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020" w:space="720"/>
            <w:col w:w="1400"/>
          </w:cols>
          <w:pgMar w:left="320" w:top="765" w:right="439" w:bottom="1440" w:gutter="0" w:footer="0" w:header="0"/>
          <w:type w:val="continuous"/>
        </w:sectPr>
      </w:pPr>
    </w:p>
    <w:p>
      <w:pPr>
        <w:spacing w:after="0" w:line="16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765" w:right="439" w:bottom="1440" w:gutter="0" w:footer="0" w:header="0"/>
          <w:type w:val="continuous"/>
        </w:sectPr>
      </w:pPr>
    </w:p>
    <w:bookmarkStart w:id="41" w:name="page42"/>
    <w:bookmarkEnd w:id="41"/>
    <w:p>
      <w:pPr>
        <w:jc w:val="center"/>
        <w:spacing w:after="0"/>
        <w:rPr>
          <w:sz w:val="20"/>
          <w:szCs w:val="20"/>
          <w:color w:val="auto"/>
        </w:rPr>
      </w:pPr>
      <w:r>
        <w:rPr>
          <w:rFonts w:ascii="Times New Roman" w:cs="Times New Roman" w:eastAsia="Times New Roman" w:hAnsi="Times New Roman"/>
          <w:sz w:val="18"/>
          <w:szCs w:val="18"/>
          <w:b w:val="1"/>
          <w:bCs w:val="1"/>
          <w:color w:val="auto"/>
        </w:rPr>
        <w:t>HANSOL INTICUBE CO.,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25. Selling, general and administrative expenses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Selling and administrative expenses for the year ended December 31, 2025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8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11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5280" w:type="dxa"/>
            <w:vAlign w:val="bottom"/>
          </w:tcPr>
          <w:p>
            <w:pPr>
              <w:spacing w:after="0"/>
              <w:rPr>
                <w:sz w:val="16"/>
                <w:szCs w:val="16"/>
                <w:color w:val="auto"/>
              </w:rPr>
            </w:pPr>
          </w:p>
        </w:tc>
        <w:tc>
          <w:tcPr>
            <w:tcW w:w="4700" w:type="dxa"/>
            <w:vAlign w:val="bottom"/>
          </w:tcPr>
          <w:p>
            <w:pPr>
              <w:spacing w:after="0"/>
              <w:rPr>
                <w:sz w:val="16"/>
                <w:szCs w:val="16"/>
                <w:color w:val="auto"/>
              </w:rPr>
            </w:pPr>
          </w:p>
        </w:tc>
        <w:tc>
          <w:tcPr>
            <w:tcW w:w="1160" w:type="dxa"/>
            <w:vAlign w:val="bottom"/>
            <w:gridSpan w:val="2"/>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28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of Korean</w:t>
            </w:r>
          </w:p>
        </w:tc>
        <w:tc>
          <w:tcPr>
            <w:tcW w:w="0" w:type="dxa"/>
            <w:vAlign w:val="bottom"/>
          </w:tcPr>
          <w:p>
            <w:pPr>
              <w:spacing w:after="0"/>
              <w:rPr>
                <w:sz w:val="1"/>
                <w:szCs w:val="1"/>
                <w:color w:val="auto"/>
              </w:rPr>
            </w:pPr>
          </w:p>
        </w:tc>
      </w:tr>
      <w:tr>
        <w:trPr>
          <w:trHeight w:val="238"/>
        </w:trPr>
        <w:tc>
          <w:tcPr>
            <w:tcW w:w="528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won)</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Salaries</w:t>
            </w:r>
          </w:p>
        </w:tc>
        <w:tc>
          <w:tcPr>
            <w:tcW w:w="4700" w:type="dxa"/>
            <w:vAlign w:val="bottom"/>
            <w:shd w:val="clear" w:color="auto" w:fill="CCEEFF"/>
          </w:tcPr>
          <w:p>
            <w:pPr>
              <w:ind w:left="4400"/>
              <w:spacing w:after="0"/>
              <w:rPr>
                <w:sz w:val="20"/>
                <w:szCs w:val="20"/>
                <w:color w:val="auto"/>
              </w:rPr>
            </w:pPr>
            <w:r>
              <w:rPr>
                <w:rFonts w:ascii="Arial" w:cs="Arial" w:eastAsia="Arial" w:hAnsi="Arial"/>
                <w:sz w:val="18"/>
                <w:szCs w:val="18"/>
                <w:color w:val="auto"/>
              </w:rPr>
              <w:t>₩</w:t>
            </w:r>
          </w:p>
        </w:tc>
        <w:tc>
          <w:tcPr>
            <w:tcW w:w="12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6,915,126</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Retirement benefits</w:t>
            </w:r>
          </w:p>
        </w:tc>
        <w:tc>
          <w:tcPr>
            <w:tcW w:w="4700" w:type="dxa"/>
            <w:vAlign w:val="bottom"/>
          </w:tcPr>
          <w:p>
            <w:pPr>
              <w:spacing w:after="0"/>
              <w:rPr>
                <w:sz w:val="18"/>
                <w:szCs w:val="18"/>
                <w:color w:val="auto"/>
              </w:rPr>
            </w:pPr>
          </w:p>
        </w:tc>
        <w:tc>
          <w:tcPr>
            <w:tcW w:w="12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612,759</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 welfare expenses</w:t>
            </w:r>
          </w:p>
        </w:tc>
        <w:tc>
          <w:tcPr>
            <w:tcW w:w="47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1,059,395</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Travel expenses</w:t>
            </w:r>
          </w:p>
        </w:tc>
        <w:tc>
          <w:tcPr>
            <w:tcW w:w="4700" w:type="dxa"/>
            <w:vAlign w:val="bottom"/>
          </w:tcPr>
          <w:p>
            <w:pPr>
              <w:spacing w:after="0"/>
              <w:rPr>
                <w:sz w:val="18"/>
                <w:szCs w:val="18"/>
                <w:color w:val="auto"/>
              </w:rPr>
            </w:pPr>
          </w:p>
        </w:tc>
        <w:tc>
          <w:tcPr>
            <w:tcW w:w="12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62,694</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Entertainment expenses</w:t>
            </w:r>
          </w:p>
        </w:tc>
        <w:tc>
          <w:tcPr>
            <w:tcW w:w="47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201,921</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Training expenses</w:t>
            </w:r>
          </w:p>
        </w:tc>
        <w:tc>
          <w:tcPr>
            <w:tcW w:w="4700" w:type="dxa"/>
            <w:vAlign w:val="bottom"/>
          </w:tcPr>
          <w:p>
            <w:pPr>
              <w:spacing w:after="0"/>
              <w:rPr>
                <w:sz w:val="18"/>
                <w:szCs w:val="18"/>
                <w:color w:val="auto"/>
              </w:rPr>
            </w:pPr>
          </w:p>
        </w:tc>
        <w:tc>
          <w:tcPr>
            <w:tcW w:w="12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40,891</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47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456,685</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Service expenses</w:t>
            </w:r>
          </w:p>
        </w:tc>
        <w:tc>
          <w:tcPr>
            <w:tcW w:w="4700" w:type="dxa"/>
            <w:vAlign w:val="bottom"/>
          </w:tcPr>
          <w:p>
            <w:pPr>
              <w:spacing w:after="0"/>
              <w:rPr>
                <w:sz w:val="18"/>
                <w:szCs w:val="18"/>
                <w:color w:val="auto"/>
              </w:rPr>
            </w:pPr>
          </w:p>
        </w:tc>
        <w:tc>
          <w:tcPr>
            <w:tcW w:w="12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572,450</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47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229,424</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Communication expenses</w:t>
            </w:r>
          </w:p>
        </w:tc>
        <w:tc>
          <w:tcPr>
            <w:tcW w:w="4700" w:type="dxa"/>
            <w:vAlign w:val="bottom"/>
          </w:tcPr>
          <w:p>
            <w:pPr>
              <w:spacing w:after="0"/>
              <w:rPr>
                <w:sz w:val="18"/>
                <w:szCs w:val="18"/>
                <w:color w:val="auto"/>
              </w:rPr>
            </w:pPr>
          </w:p>
        </w:tc>
        <w:tc>
          <w:tcPr>
            <w:tcW w:w="12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25,662</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Taxes and dues</w:t>
            </w:r>
          </w:p>
        </w:tc>
        <w:tc>
          <w:tcPr>
            <w:tcW w:w="47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38,243</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Vehicle maintenance expenses</w:t>
            </w:r>
          </w:p>
        </w:tc>
        <w:tc>
          <w:tcPr>
            <w:tcW w:w="4700" w:type="dxa"/>
            <w:vAlign w:val="bottom"/>
          </w:tcPr>
          <w:p>
            <w:pPr>
              <w:spacing w:after="0"/>
              <w:rPr>
                <w:sz w:val="18"/>
                <w:szCs w:val="18"/>
                <w:color w:val="auto"/>
              </w:rPr>
            </w:pPr>
          </w:p>
        </w:tc>
        <w:tc>
          <w:tcPr>
            <w:tcW w:w="12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84,153</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Event expenses</w:t>
            </w:r>
          </w:p>
        </w:tc>
        <w:tc>
          <w:tcPr>
            <w:tcW w:w="47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69,231</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4700" w:type="dxa"/>
            <w:vAlign w:val="bottom"/>
          </w:tcPr>
          <w:p>
            <w:pPr>
              <w:spacing w:after="0"/>
              <w:rPr>
                <w:sz w:val="18"/>
                <w:szCs w:val="18"/>
                <w:color w:val="auto"/>
              </w:rPr>
            </w:pPr>
          </w:p>
        </w:tc>
        <w:tc>
          <w:tcPr>
            <w:tcW w:w="12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2,168,133</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Commission expenses</w:t>
            </w:r>
          </w:p>
        </w:tc>
        <w:tc>
          <w:tcPr>
            <w:tcW w:w="47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896,524</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Share-based payment expense</w:t>
            </w:r>
          </w:p>
        </w:tc>
        <w:tc>
          <w:tcPr>
            <w:tcW w:w="4700" w:type="dxa"/>
            <w:vAlign w:val="bottom"/>
          </w:tcPr>
          <w:p>
            <w:pPr>
              <w:spacing w:after="0"/>
              <w:rPr>
                <w:sz w:val="18"/>
                <w:szCs w:val="18"/>
                <w:color w:val="auto"/>
              </w:rPr>
            </w:pPr>
          </w:p>
        </w:tc>
        <w:tc>
          <w:tcPr>
            <w:tcW w:w="12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(26,345)</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expenses</w:t>
            </w:r>
          </w:p>
        </w:tc>
        <w:tc>
          <w:tcPr>
            <w:tcW w:w="47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1,083,218</w:t>
            </w:r>
          </w:p>
        </w:tc>
        <w:tc>
          <w:tcPr>
            <w:tcW w:w="0" w:type="dxa"/>
            <w:vAlign w:val="bottom"/>
          </w:tcPr>
          <w:p>
            <w:pPr>
              <w:spacing w:after="0"/>
              <w:rPr>
                <w:sz w:val="1"/>
                <w:szCs w:val="1"/>
                <w:color w:val="auto"/>
              </w:rPr>
            </w:pPr>
          </w:p>
        </w:tc>
      </w:tr>
      <w:tr>
        <w:trPr>
          <w:trHeight w:val="210"/>
        </w:trPr>
        <w:tc>
          <w:tcPr>
            <w:tcW w:w="5280" w:type="dxa"/>
            <w:vAlign w:val="bottom"/>
          </w:tcPr>
          <w:p>
            <w:pPr>
              <w:ind w:left="4660"/>
              <w:spacing w:after="0"/>
              <w:rPr>
                <w:sz w:val="20"/>
                <w:szCs w:val="20"/>
                <w:color w:val="auto"/>
              </w:rPr>
            </w:pPr>
            <w:r>
              <w:rPr>
                <w:rFonts w:ascii="Times New Roman" w:cs="Times New Roman" w:eastAsia="Times New Roman" w:hAnsi="Times New Roman"/>
                <w:sz w:val="18"/>
                <w:szCs w:val="18"/>
                <w:color w:val="auto"/>
              </w:rPr>
              <w:t>Total</w:t>
            </w:r>
          </w:p>
        </w:tc>
        <w:tc>
          <w:tcPr>
            <w:tcW w:w="4700" w:type="dxa"/>
            <w:vAlign w:val="bottom"/>
          </w:tcPr>
          <w:p>
            <w:pPr>
              <w:ind w:left="440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14,490,164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26. Finance Income</w:t>
            </w:r>
          </w:p>
        </w:tc>
        <w:tc>
          <w:tcPr>
            <w:tcW w:w="47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280" w:type="dxa"/>
            <w:vAlign w:val="bottom"/>
            <w:vMerge w:val="continue"/>
          </w:tcPr>
          <w:p>
            <w:pPr>
              <w:spacing w:after="0"/>
              <w:rPr>
                <w:sz w:val="24"/>
                <w:szCs w:val="24"/>
                <w:color w:val="auto"/>
              </w:rPr>
            </w:pPr>
          </w:p>
        </w:tc>
        <w:tc>
          <w:tcPr>
            <w:tcW w:w="4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Finance income for the year ended December 31, 2025 is as follows:</w:t>
            </w:r>
          </w:p>
        </w:tc>
        <w:tc>
          <w:tcPr>
            <w:tcW w:w="4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28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11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5280" w:type="dxa"/>
            <w:vAlign w:val="bottom"/>
          </w:tcPr>
          <w:p>
            <w:pPr>
              <w:spacing w:after="0"/>
              <w:rPr>
                <w:sz w:val="16"/>
                <w:szCs w:val="16"/>
                <w:color w:val="auto"/>
              </w:rPr>
            </w:pPr>
          </w:p>
        </w:tc>
        <w:tc>
          <w:tcPr>
            <w:tcW w:w="4700" w:type="dxa"/>
            <w:vAlign w:val="bottom"/>
          </w:tcPr>
          <w:p>
            <w:pPr>
              <w:spacing w:after="0"/>
              <w:rPr>
                <w:sz w:val="16"/>
                <w:szCs w:val="16"/>
                <w:color w:val="auto"/>
              </w:rPr>
            </w:pPr>
          </w:p>
        </w:tc>
        <w:tc>
          <w:tcPr>
            <w:tcW w:w="1160" w:type="dxa"/>
            <w:vAlign w:val="bottom"/>
            <w:gridSpan w:val="2"/>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28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of Korean</w:t>
            </w:r>
          </w:p>
        </w:tc>
        <w:tc>
          <w:tcPr>
            <w:tcW w:w="0" w:type="dxa"/>
            <w:vAlign w:val="bottom"/>
          </w:tcPr>
          <w:p>
            <w:pPr>
              <w:spacing w:after="0"/>
              <w:rPr>
                <w:sz w:val="1"/>
                <w:szCs w:val="1"/>
                <w:color w:val="auto"/>
              </w:rPr>
            </w:pPr>
          </w:p>
        </w:tc>
      </w:tr>
      <w:tr>
        <w:trPr>
          <w:trHeight w:val="238"/>
        </w:trPr>
        <w:tc>
          <w:tcPr>
            <w:tcW w:w="528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won)</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4700" w:type="dxa"/>
            <w:vAlign w:val="bottom"/>
            <w:shd w:val="clear" w:color="auto" w:fill="CCEEFF"/>
          </w:tcPr>
          <w:p>
            <w:pPr>
              <w:ind w:left="4360"/>
              <w:spacing w:after="0"/>
              <w:rPr>
                <w:sz w:val="20"/>
                <w:szCs w:val="20"/>
                <w:color w:val="auto"/>
              </w:rPr>
            </w:pPr>
            <w:r>
              <w:rPr>
                <w:rFonts w:ascii="Arial" w:cs="Arial" w:eastAsia="Arial" w:hAnsi="Arial"/>
                <w:sz w:val="18"/>
                <w:szCs w:val="18"/>
                <w:color w:val="auto"/>
              </w:rPr>
              <w:t>₩</w:t>
            </w:r>
          </w:p>
        </w:tc>
        <w:tc>
          <w:tcPr>
            <w:tcW w:w="12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113,054</w:t>
            </w: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Gain on valuation of financial assets at FVTPL</w:t>
            </w:r>
          </w:p>
        </w:tc>
        <w:tc>
          <w:tcPr>
            <w:tcW w:w="4700" w:type="dxa"/>
            <w:vAlign w:val="bottom"/>
          </w:tcPr>
          <w:p>
            <w:pPr>
              <w:spacing w:after="0"/>
              <w:rPr>
                <w:sz w:val="19"/>
                <w:szCs w:val="19"/>
                <w:color w:val="auto"/>
              </w:rPr>
            </w:pPr>
          </w:p>
        </w:tc>
        <w:tc>
          <w:tcPr>
            <w:tcW w:w="12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19,796</w:t>
            </w:r>
          </w:p>
        </w:tc>
        <w:tc>
          <w:tcPr>
            <w:tcW w:w="0" w:type="dxa"/>
            <w:vAlign w:val="bottom"/>
          </w:tcPr>
          <w:p>
            <w:pPr>
              <w:spacing w:after="0"/>
              <w:rPr>
                <w:sz w:val="1"/>
                <w:szCs w:val="1"/>
                <w:color w:val="auto"/>
              </w:rPr>
            </w:pPr>
          </w:p>
        </w:tc>
      </w:tr>
      <w:tr>
        <w:trPr>
          <w:trHeight w:val="223"/>
        </w:trPr>
        <w:tc>
          <w:tcPr>
            <w:tcW w:w="5280" w:type="dxa"/>
            <w:vAlign w:val="bottom"/>
            <w:tcBorders>
              <w:top w:val="single" w:sz="8" w:color="CCEEFF"/>
              <w:bottom w:val="single" w:sz="8" w:color="CCEEFF"/>
            </w:tcBorders>
            <w:shd w:val="clear" w:color="auto" w:fill="CCEEFF"/>
          </w:tcPr>
          <w:p>
            <w:pPr>
              <w:ind w:left="4640"/>
              <w:spacing w:after="0"/>
              <w:rPr>
                <w:sz w:val="20"/>
                <w:szCs w:val="20"/>
                <w:color w:val="auto"/>
              </w:rPr>
            </w:pPr>
            <w:r>
              <w:rPr>
                <w:rFonts w:ascii="Times New Roman" w:cs="Times New Roman" w:eastAsia="Times New Roman" w:hAnsi="Times New Roman"/>
                <w:sz w:val="18"/>
                <w:szCs w:val="18"/>
                <w:color w:val="auto"/>
              </w:rPr>
              <w:t>Total</w:t>
            </w:r>
          </w:p>
        </w:tc>
        <w:tc>
          <w:tcPr>
            <w:tcW w:w="4700" w:type="dxa"/>
            <w:vAlign w:val="bottom"/>
            <w:tcBorders>
              <w:top w:val="single" w:sz="8" w:color="CCEEFF"/>
              <w:bottom w:val="single" w:sz="8" w:color="CCEEFF"/>
            </w:tcBorders>
            <w:shd w:val="clear" w:color="auto" w:fill="CCEEFF"/>
          </w:tcPr>
          <w:p>
            <w:pPr>
              <w:ind w:left="436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132,850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27. Finance Costs</w:t>
            </w:r>
          </w:p>
        </w:tc>
        <w:tc>
          <w:tcPr>
            <w:tcW w:w="47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280" w:type="dxa"/>
            <w:vAlign w:val="bottom"/>
            <w:vMerge w:val="continue"/>
          </w:tcPr>
          <w:p>
            <w:pPr>
              <w:spacing w:after="0"/>
              <w:rPr>
                <w:sz w:val="24"/>
                <w:szCs w:val="24"/>
                <w:color w:val="auto"/>
              </w:rPr>
            </w:pPr>
          </w:p>
        </w:tc>
        <w:tc>
          <w:tcPr>
            <w:tcW w:w="4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Finance costs for the year ended December 31, 2025 are as follows:</w:t>
            </w:r>
          </w:p>
        </w:tc>
        <w:tc>
          <w:tcPr>
            <w:tcW w:w="4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28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5280" w:type="dxa"/>
            <w:vAlign w:val="bottom"/>
          </w:tcPr>
          <w:p>
            <w:pPr>
              <w:spacing w:after="0"/>
              <w:rPr>
                <w:sz w:val="16"/>
                <w:szCs w:val="16"/>
                <w:color w:val="auto"/>
              </w:rPr>
            </w:pPr>
          </w:p>
        </w:tc>
        <w:tc>
          <w:tcPr>
            <w:tcW w:w="4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2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8"/>
              </w:rPr>
              <w:t>(In thousands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28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of Korean</w:t>
            </w:r>
          </w:p>
        </w:tc>
        <w:tc>
          <w:tcPr>
            <w:tcW w:w="0" w:type="dxa"/>
            <w:vAlign w:val="bottom"/>
          </w:tcPr>
          <w:p>
            <w:pPr>
              <w:spacing w:after="0"/>
              <w:rPr>
                <w:sz w:val="1"/>
                <w:szCs w:val="1"/>
                <w:color w:val="auto"/>
              </w:rPr>
            </w:pPr>
          </w:p>
        </w:tc>
      </w:tr>
      <w:tr>
        <w:trPr>
          <w:trHeight w:val="238"/>
        </w:trPr>
        <w:tc>
          <w:tcPr>
            <w:tcW w:w="528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won)</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4700" w:type="dxa"/>
            <w:vAlign w:val="bottom"/>
            <w:shd w:val="clear" w:color="auto" w:fill="CCEEFF"/>
          </w:tcPr>
          <w:p>
            <w:pPr>
              <w:ind w:left="4460"/>
              <w:spacing w:after="0"/>
              <w:rPr>
                <w:sz w:val="20"/>
                <w:szCs w:val="20"/>
                <w:color w:val="auto"/>
              </w:rPr>
            </w:pPr>
            <w:r>
              <w:rPr>
                <w:rFonts w:ascii="Arial" w:cs="Arial" w:eastAsia="Arial" w:hAnsi="Arial"/>
                <w:sz w:val="18"/>
                <w:szCs w:val="18"/>
                <w:color w:val="auto"/>
              </w:rPr>
              <w:t>₩</w:t>
            </w:r>
          </w:p>
        </w:tc>
        <w:tc>
          <w:tcPr>
            <w:tcW w:w="12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187,577</w:t>
            </w:r>
          </w:p>
        </w:tc>
        <w:tc>
          <w:tcPr>
            <w:tcW w:w="0" w:type="dxa"/>
            <w:vAlign w:val="bottom"/>
          </w:tcPr>
          <w:p>
            <w:pPr>
              <w:spacing w:after="0"/>
              <w:rPr>
                <w:sz w:val="1"/>
                <w:szCs w:val="1"/>
                <w:color w:val="auto"/>
              </w:rPr>
            </w:pPr>
          </w:p>
        </w:tc>
      </w:tr>
      <w:tr>
        <w:trPr>
          <w:trHeight w:val="560"/>
        </w:trPr>
        <w:tc>
          <w:tcPr>
            <w:tcW w:w="5280" w:type="dxa"/>
            <w:vAlign w:val="bottom"/>
            <w:tcBorders>
              <w:bottom w:val="single" w:sz="8" w:color="auto"/>
            </w:tcBorders>
          </w:tcPr>
          <w:p>
            <w:pPr>
              <w:spacing w:after="0"/>
              <w:rPr>
                <w:sz w:val="24"/>
                <w:szCs w:val="24"/>
                <w:color w:val="auto"/>
              </w:rPr>
            </w:pPr>
          </w:p>
        </w:tc>
        <w:tc>
          <w:tcPr>
            <w:tcW w:w="47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39</w:t>
            </w:r>
          </w:p>
        </w:tc>
        <w:tc>
          <w:tcPr>
            <w:tcW w:w="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65" w:right="33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8"/>
          <w:szCs w:val="18"/>
          <w:b w:val="1"/>
          <w:bCs w:val="1"/>
          <w:color w:val="auto"/>
        </w:rPr>
        <w:t>HANSOL INTICUBE CO.,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28. Other income</w:t>
            </w:r>
          </w:p>
        </w:tc>
        <w:tc>
          <w:tcPr>
            <w:tcW w:w="47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for the year ended December 31, 2025 is as follows:</w:t>
            </w:r>
          </w:p>
        </w:tc>
        <w:tc>
          <w:tcPr>
            <w:tcW w:w="47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30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5300" w:type="dxa"/>
            <w:vAlign w:val="bottom"/>
          </w:tcPr>
          <w:p>
            <w:pPr>
              <w:spacing w:after="0"/>
              <w:rPr>
                <w:sz w:val="16"/>
                <w:szCs w:val="16"/>
                <w:color w:val="auto"/>
              </w:rPr>
            </w:pPr>
          </w:p>
        </w:tc>
        <w:tc>
          <w:tcPr>
            <w:tcW w:w="4720" w:type="dxa"/>
            <w:vAlign w:val="bottom"/>
          </w:tcPr>
          <w:p>
            <w:pPr>
              <w:spacing w:after="0"/>
              <w:rPr>
                <w:sz w:val="16"/>
                <w:szCs w:val="16"/>
                <w:color w:val="auto"/>
              </w:rPr>
            </w:pPr>
          </w:p>
        </w:tc>
        <w:tc>
          <w:tcPr>
            <w:tcW w:w="112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8"/>
              </w:rPr>
              <w:t>(In thousands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30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of Korean</w:t>
            </w:r>
          </w:p>
        </w:tc>
        <w:tc>
          <w:tcPr>
            <w:tcW w:w="0" w:type="dxa"/>
            <w:vAlign w:val="bottom"/>
          </w:tcPr>
          <w:p>
            <w:pPr>
              <w:spacing w:after="0"/>
              <w:rPr>
                <w:sz w:val="1"/>
                <w:szCs w:val="1"/>
                <w:color w:val="auto"/>
              </w:rPr>
            </w:pPr>
          </w:p>
        </w:tc>
      </w:tr>
      <w:tr>
        <w:trPr>
          <w:trHeight w:val="238"/>
        </w:trPr>
        <w:tc>
          <w:tcPr>
            <w:tcW w:w="5300" w:type="dxa"/>
            <w:vAlign w:val="bottom"/>
          </w:tcPr>
          <w:p>
            <w:pPr>
              <w:spacing w:after="0"/>
              <w:rPr>
                <w:sz w:val="20"/>
                <w:szCs w:val="20"/>
                <w:color w:val="auto"/>
              </w:rPr>
            </w:pPr>
          </w:p>
        </w:tc>
        <w:tc>
          <w:tcPr>
            <w:tcW w:w="4720" w:type="dxa"/>
            <w:vAlign w:val="bottom"/>
          </w:tcPr>
          <w:p>
            <w:pPr>
              <w:spacing w:after="0"/>
              <w:rPr>
                <w:sz w:val="20"/>
                <w:szCs w:val="20"/>
                <w:color w:val="auto"/>
              </w:rPr>
            </w:pP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won)</w:t>
            </w: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exchange gain</w:t>
            </w:r>
          </w:p>
        </w:tc>
        <w:tc>
          <w:tcPr>
            <w:tcW w:w="4720" w:type="dxa"/>
            <w:vAlign w:val="bottom"/>
            <w:shd w:val="clear" w:color="auto" w:fill="CCEEFF"/>
          </w:tcPr>
          <w:p>
            <w:pPr>
              <w:ind w:left="44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105,001</w:t>
            </w: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translation gain</w:t>
            </w:r>
          </w:p>
        </w:tc>
        <w:tc>
          <w:tcPr>
            <w:tcW w:w="47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5,468</w:t>
            </w: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disposal of property, plant and equipment</w:t>
            </w:r>
          </w:p>
        </w:tc>
        <w:tc>
          <w:tcPr>
            <w:tcW w:w="47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27,064</w:t>
            </w: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Gain on disposal of right-of-use assets</w:t>
            </w:r>
          </w:p>
        </w:tc>
        <w:tc>
          <w:tcPr>
            <w:tcW w:w="47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47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26,577</w:t>
            </w:r>
          </w:p>
        </w:tc>
        <w:tc>
          <w:tcPr>
            <w:tcW w:w="0" w:type="dxa"/>
            <w:vAlign w:val="bottom"/>
          </w:tcPr>
          <w:p>
            <w:pPr>
              <w:spacing w:after="0"/>
              <w:rPr>
                <w:sz w:val="1"/>
                <w:szCs w:val="1"/>
                <w:color w:val="auto"/>
              </w:rPr>
            </w:pPr>
          </w:p>
        </w:tc>
      </w:tr>
      <w:tr>
        <w:trPr>
          <w:trHeight w:val="210"/>
        </w:trPr>
        <w:tc>
          <w:tcPr>
            <w:tcW w:w="5300" w:type="dxa"/>
            <w:vAlign w:val="bottom"/>
          </w:tcPr>
          <w:p>
            <w:pPr>
              <w:ind w:left="4720"/>
              <w:spacing w:after="0"/>
              <w:rPr>
                <w:sz w:val="20"/>
                <w:szCs w:val="20"/>
                <w:color w:val="auto"/>
              </w:rPr>
            </w:pPr>
            <w:r>
              <w:rPr>
                <w:rFonts w:ascii="Times New Roman" w:cs="Times New Roman" w:eastAsia="Times New Roman" w:hAnsi="Times New Roman"/>
                <w:sz w:val="18"/>
                <w:szCs w:val="18"/>
                <w:color w:val="auto"/>
              </w:rPr>
              <w:t>Total</w:t>
            </w:r>
          </w:p>
        </w:tc>
        <w:tc>
          <w:tcPr>
            <w:tcW w:w="4720" w:type="dxa"/>
            <w:vAlign w:val="bottom"/>
          </w:tcPr>
          <w:p>
            <w:pPr>
              <w:ind w:left="444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164,110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29. Other expenses</w:t>
            </w:r>
          </w:p>
        </w:tc>
        <w:tc>
          <w:tcPr>
            <w:tcW w:w="47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300" w:type="dxa"/>
            <w:vAlign w:val="bottom"/>
            <w:vMerge w:val="continue"/>
          </w:tcPr>
          <w:p>
            <w:pPr>
              <w:spacing w:after="0"/>
              <w:rPr>
                <w:sz w:val="24"/>
                <w:szCs w:val="24"/>
                <w:color w:val="auto"/>
              </w:rPr>
            </w:pPr>
          </w:p>
        </w:tc>
        <w:tc>
          <w:tcPr>
            <w:tcW w:w="47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expenses for the year ended December 31, 2025 are as follows:</w:t>
            </w:r>
          </w:p>
        </w:tc>
        <w:tc>
          <w:tcPr>
            <w:tcW w:w="47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30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5300" w:type="dxa"/>
            <w:vAlign w:val="bottom"/>
          </w:tcPr>
          <w:p>
            <w:pPr>
              <w:spacing w:after="0"/>
              <w:rPr>
                <w:sz w:val="16"/>
                <w:szCs w:val="16"/>
                <w:color w:val="auto"/>
              </w:rPr>
            </w:pPr>
          </w:p>
        </w:tc>
        <w:tc>
          <w:tcPr>
            <w:tcW w:w="4720" w:type="dxa"/>
            <w:vAlign w:val="bottom"/>
          </w:tcPr>
          <w:p>
            <w:pPr>
              <w:spacing w:after="0"/>
              <w:rPr>
                <w:sz w:val="16"/>
                <w:szCs w:val="16"/>
                <w:color w:val="auto"/>
              </w:rPr>
            </w:pPr>
          </w:p>
        </w:tc>
        <w:tc>
          <w:tcPr>
            <w:tcW w:w="112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8"/>
              </w:rPr>
              <w:t>(In thousands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30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of Korean</w:t>
            </w:r>
          </w:p>
        </w:tc>
        <w:tc>
          <w:tcPr>
            <w:tcW w:w="0" w:type="dxa"/>
            <w:vAlign w:val="bottom"/>
          </w:tcPr>
          <w:p>
            <w:pPr>
              <w:spacing w:after="0"/>
              <w:rPr>
                <w:sz w:val="1"/>
                <w:szCs w:val="1"/>
                <w:color w:val="auto"/>
              </w:rPr>
            </w:pPr>
          </w:p>
        </w:tc>
      </w:tr>
      <w:tr>
        <w:trPr>
          <w:trHeight w:val="238"/>
        </w:trPr>
        <w:tc>
          <w:tcPr>
            <w:tcW w:w="5300" w:type="dxa"/>
            <w:vAlign w:val="bottom"/>
          </w:tcPr>
          <w:p>
            <w:pPr>
              <w:spacing w:after="0"/>
              <w:rPr>
                <w:sz w:val="20"/>
                <w:szCs w:val="20"/>
                <w:color w:val="auto"/>
              </w:rPr>
            </w:pPr>
          </w:p>
        </w:tc>
        <w:tc>
          <w:tcPr>
            <w:tcW w:w="4720" w:type="dxa"/>
            <w:vAlign w:val="bottom"/>
          </w:tcPr>
          <w:p>
            <w:pPr>
              <w:spacing w:after="0"/>
              <w:rPr>
                <w:sz w:val="20"/>
                <w:szCs w:val="20"/>
                <w:color w:val="auto"/>
              </w:rPr>
            </w:pP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won)</w:t>
            </w: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exchange loss</w:t>
            </w:r>
          </w:p>
        </w:tc>
        <w:tc>
          <w:tcPr>
            <w:tcW w:w="4720" w:type="dxa"/>
            <w:vAlign w:val="bottom"/>
            <w:shd w:val="clear" w:color="auto" w:fill="CCEEFF"/>
          </w:tcPr>
          <w:p>
            <w:pPr>
              <w:ind w:left="44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100,005</w:t>
            </w: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translation loss</w:t>
            </w:r>
          </w:p>
        </w:tc>
        <w:tc>
          <w:tcPr>
            <w:tcW w:w="47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2,913</w:t>
            </w: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disposal of property, plant and equipment</w:t>
            </w:r>
          </w:p>
        </w:tc>
        <w:tc>
          <w:tcPr>
            <w:tcW w:w="47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7,358</w:t>
            </w: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Donations</w:t>
            </w:r>
          </w:p>
        </w:tc>
        <w:tc>
          <w:tcPr>
            <w:tcW w:w="47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expenses</w:t>
            </w:r>
          </w:p>
        </w:tc>
        <w:tc>
          <w:tcPr>
            <w:tcW w:w="47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2,276</w:t>
            </w:r>
          </w:p>
        </w:tc>
        <w:tc>
          <w:tcPr>
            <w:tcW w:w="0" w:type="dxa"/>
            <w:vAlign w:val="bottom"/>
          </w:tcPr>
          <w:p>
            <w:pPr>
              <w:spacing w:after="0"/>
              <w:rPr>
                <w:sz w:val="1"/>
                <w:szCs w:val="1"/>
                <w:color w:val="auto"/>
              </w:rPr>
            </w:pPr>
          </w:p>
        </w:tc>
      </w:tr>
      <w:tr>
        <w:trPr>
          <w:trHeight w:val="210"/>
        </w:trPr>
        <w:tc>
          <w:tcPr>
            <w:tcW w:w="5300" w:type="dxa"/>
            <w:vAlign w:val="bottom"/>
          </w:tcPr>
          <w:p>
            <w:pPr>
              <w:ind w:left="4720"/>
              <w:spacing w:after="0"/>
              <w:rPr>
                <w:sz w:val="20"/>
                <w:szCs w:val="20"/>
                <w:color w:val="auto"/>
              </w:rPr>
            </w:pPr>
            <w:r>
              <w:rPr>
                <w:rFonts w:ascii="Times New Roman" w:cs="Times New Roman" w:eastAsia="Times New Roman" w:hAnsi="Times New Roman"/>
                <w:sz w:val="18"/>
                <w:szCs w:val="18"/>
                <w:color w:val="auto"/>
              </w:rPr>
              <w:t>Total</w:t>
            </w:r>
          </w:p>
        </w:tc>
        <w:tc>
          <w:tcPr>
            <w:tcW w:w="4720" w:type="dxa"/>
            <w:vAlign w:val="bottom"/>
          </w:tcPr>
          <w:p>
            <w:pPr>
              <w:ind w:left="444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112,552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472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auto"/>
              </w:rPr>
              <w:t>40</w:t>
            </w: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1"/>
        </w:trPr>
        <w:tc>
          <w:tcPr>
            <w:tcW w:w="5300" w:type="dxa"/>
            <w:vAlign w:val="bottom"/>
            <w:tcBorders>
              <w:bottom w:val="single" w:sz="8" w:color="auto"/>
            </w:tcBorders>
          </w:tcPr>
          <w:p>
            <w:pPr>
              <w:spacing w:after="0"/>
              <w:rPr>
                <w:sz w:val="24"/>
                <w:szCs w:val="24"/>
                <w:color w:val="auto"/>
              </w:rPr>
            </w:pPr>
          </w:p>
        </w:tc>
        <w:tc>
          <w:tcPr>
            <w:tcW w:w="4720" w:type="dxa"/>
            <w:vAlign w:val="bottom"/>
            <w:tcBorders>
              <w:bottom w:val="single" w:sz="8" w:color="auto"/>
            </w:tcBorders>
            <w:vMerge w:val="continue"/>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65" w:right="339" w:bottom="1440" w:gutter="0" w:footer="0" w:header="0"/>
        </w:sectPr>
      </w:pPr>
    </w:p>
    <w:bookmarkStart w:id="43" w:name="page44"/>
    <w:bookmarkEnd w:id="43"/>
    <w:p>
      <w:pPr>
        <w:jc w:val="center"/>
        <w:spacing w:after="0"/>
        <w:rPr>
          <w:sz w:val="20"/>
          <w:szCs w:val="20"/>
          <w:color w:val="auto"/>
        </w:rPr>
      </w:pPr>
      <w:r>
        <w:rPr>
          <w:rFonts w:ascii="Times New Roman" w:cs="Times New Roman" w:eastAsia="Times New Roman" w:hAnsi="Times New Roman"/>
          <w:sz w:val="18"/>
          <w:szCs w:val="18"/>
          <w:b w:val="1"/>
          <w:bCs w:val="1"/>
          <w:color w:val="auto"/>
        </w:rPr>
        <w:t>HANSOL INTICUBE CO.,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30. Tax expense</w:t>
            </w:r>
          </w:p>
        </w:tc>
        <w:tc>
          <w:tcPr>
            <w:tcW w:w="19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  Components of income tax expense</w:t>
            </w:r>
          </w:p>
        </w:tc>
        <w:tc>
          <w:tcPr>
            <w:tcW w:w="19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Components of income tax expense for the year ended December 31, 2025 are as follows:</w:t>
            </w:r>
          </w:p>
        </w:tc>
        <w:tc>
          <w:tcPr>
            <w:tcW w:w="19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1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24"/>
                <w:szCs w:val="24"/>
                <w:color w:val="auto"/>
              </w:rPr>
            </w:pPr>
          </w:p>
        </w:tc>
      </w:tr>
      <w:tr>
        <w:trPr>
          <w:trHeight w:val="187"/>
        </w:trPr>
        <w:tc>
          <w:tcPr>
            <w:tcW w:w="810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12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8"/>
              </w:rPr>
              <w:t>(In thousands</w:t>
            </w:r>
          </w:p>
        </w:tc>
        <w:tc>
          <w:tcPr>
            <w:tcW w:w="100" w:type="dxa"/>
            <w:vAlign w:val="bottom"/>
          </w:tcPr>
          <w:p>
            <w:pPr>
              <w:spacing w:after="0"/>
              <w:rPr>
                <w:sz w:val="16"/>
                <w:szCs w:val="16"/>
                <w:color w:val="auto"/>
              </w:rPr>
            </w:pPr>
          </w:p>
        </w:tc>
      </w:tr>
      <w:tr>
        <w:trPr>
          <w:trHeight w:val="216"/>
        </w:trPr>
        <w:tc>
          <w:tcPr>
            <w:tcW w:w="81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of Korean</w:t>
            </w:r>
          </w:p>
        </w:tc>
      </w:tr>
      <w:tr>
        <w:trPr>
          <w:trHeight w:val="238"/>
        </w:trPr>
        <w:tc>
          <w:tcPr>
            <w:tcW w:w="810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won)</w:t>
            </w:r>
          </w:p>
        </w:tc>
      </w:tr>
      <w:tr>
        <w:trPr>
          <w:trHeight w:val="216"/>
        </w:trPr>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income tax expense</w:t>
            </w:r>
          </w:p>
        </w:tc>
        <w:tc>
          <w:tcPr>
            <w:tcW w:w="1920" w:type="dxa"/>
            <w:vAlign w:val="bottom"/>
            <w:shd w:val="clear" w:color="auto" w:fill="CCEEFF"/>
          </w:tcPr>
          <w:p>
            <w:pPr>
              <w:ind w:left="16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11,015</w:t>
            </w:r>
          </w:p>
        </w:tc>
      </w:tr>
      <w:tr>
        <w:trPr>
          <w:trHeight w:val="216"/>
        </w:trPr>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expense</w:t>
            </w:r>
          </w:p>
        </w:tc>
        <w:tc>
          <w:tcPr>
            <w:tcW w:w="19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137,119</w:t>
            </w:r>
          </w:p>
        </w:tc>
      </w:tr>
      <w:tr>
        <w:trPr>
          <w:trHeight w:val="216"/>
        </w:trPr>
        <w:tc>
          <w:tcPr>
            <w:tcW w:w="8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Arising from origination and reversal of temporary differences</w:t>
            </w:r>
          </w:p>
        </w:tc>
        <w:tc>
          <w:tcPr>
            <w:tcW w:w="19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50,959</w:t>
            </w:r>
          </w:p>
        </w:tc>
      </w:tr>
      <w:tr>
        <w:trPr>
          <w:trHeight w:val="216"/>
        </w:trPr>
        <w:tc>
          <w:tcPr>
            <w:tcW w:w="8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Recognized directly in equity</w:t>
            </w:r>
          </w:p>
        </w:tc>
        <w:tc>
          <w:tcPr>
            <w:tcW w:w="19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86,160</w:t>
            </w:r>
          </w:p>
        </w:tc>
      </w:tr>
      <w:tr>
        <w:trPr>
          <w:trHeight w:val="216"/>
        </w:trPr>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920" w:type="dxa"/>
            <w:vAlign w:val="bottom"/>
            <w:shd w:val="clear" w:color="auto" w:fill="CCEEFF"/>
          </w:tcPr>
          <w:p>
            <w:pPr>
              <w:ind w:left="16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148,134</w:t>
            </w:r>
          </w:p>
        </w:tc>
      </w:tr>
    </w:tbl>
    <w:p>
      <w:pPr>
        <w:spacing w:after="0" w:line="194"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B.</w:t>
      </w:r>
      <w:r>
        <w:rPr>
          <w:sz w:val="20"/>
          <w:szCs w:val="20"/>
          <w:color w:val="auto"/>
        </w:rPr>
        <w:tab/>
      </w:r>
      <w:r>
        <w:rPr>
          <w:rFonts w:ascii="Times New Roman" w:cs="Times New Roman" w:eastAsia="Times New Roman" w:hAnsi="Times New Roman"/>
          <w:sz w:val="17"/>
          <w:szCs w:val="17"/>
          <w:b w:val="1"/>
          <w:bCs w:val="1"/>
          <w:color w:val="auto"/>
        </w:rPr>
        <w:t>Tax reconciliation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Reconciliation between accounting profit and income tax expense from continuing operations for the year ended December 31, 2025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6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60" w:type="dxa"/>
            <w:vAlign w:val="bottom"/>
          </w:tcPr>
          <w:p>
            <w:pPr>
              <w:spacing w:after="0"/>
              <w:rPr>
                <w:sz w:val="20"/>
                <w:szCs w:val="20"/>
                <w:color w:val="auto"/>
              </w:rPr>
            </w:pPr>
          </w:p>
        </w:tc>
      </w:tr>
      <w:tr>
        <w:trPr>
          <w:trHeight w:val="187"/>
        </w:trPr>
        <w:tc>
          <w:tcPr>
            <w:tcW w:w="5360" w:type="dxa"/>
            <w:vAlign w:val="bottom"/>
          </w:tcPr>
          <w:p>
            <w:pPr>
              <w:spacing w:after="0"/>
              <w:rPr>
                <w:sz w:val="16"/>
                <w:szCs w:val="16"/>
                <w:color w:val="auto"/>
              </w:rPr>
            </w:pPr>
          </w:p>
        </w:tc>
        <w:tc>
          <w:tcPr>
            <w:tcW w:w="4620" w:type="dxa"/>
            <w:vAlign w:val="bottom"/>
          </w:tcPr>
          <w:p>
            <w:pPr>
              <w:spacing w:after="0"/>
              <w:rPr>
                <w:sz w:val="16"/>
                <w:szCs w:val="16"/>
                <w:color w:val="auto"/>
              </w:rPr>
            </w:pPr>
          </w:p>
        </w:tc>
        <w:tc>
          <w:tcPr>
            <w:tcW w:w="110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(In thousands</w:t>
            </w:r>
          </w:p>
        </w:tc>
        <w:tc>
          <w:tcPr>
            <w:tcW w:w="160" w:type="dxa"/>
            <w:vAlign w:val="bottom"/>
          </w:tcPr>
          <w:p>
            <w:pPr>
              <w:spacing w:after="0"/>
              <w:rPr>
                <w:sz w:val="16"/>
                <w:szCs w:val="16"/>
                <w:color w:val="auto"/>
              </w:rPr>
            </w:pPr>
          </w:p>
        </w:tc>
      </w:tr>
      <w:tr>
        <w:trPr>
          <w:trHeight w:val="216"/>
        </w:trPr>
        <w:tc>
          <w:tcPr>
            <w:tcW w:w="536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12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of Korean</w:t>
            </w:r>
          </w:p>
        </w:tc>
      </w:tr>
      <w:tr>
        <w:trPr>
          <w:trHeight w:val="238"/>
        </w:trPr>
        <w:tc>
          <w:tcPr>
            <w:tcW w:w="536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12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won)</w:t>
            </w:r>
          </w:p>
        </w:tc>
      </w:tr>
      <w:tr>
        <w:trPr>
          <w:trHeight w:val="216"/>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Profit before income tax</w:t>
            </w:r>
          </w:p>
        </w:tc>
        <w:tc>
          <w:tcPr>
            <w:tcW w:w="4620" w:type="dxa"/>
            <w:vAlign w:val="bottom"/>
            <w:shd w:val="clear" w:color="auto" w:fill="CCEEFF"/>
          </w:tcPr>
          <w:p>
            <w:pPr>
              <w:ind w:left="43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1,043,812</w:t>
            </w: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 at applicable tax rate</w:t>
            </w:r>
          </w:p>
        </w:tc>
        <w:tc>
          <w:tcPr>
            <w:tcW w:w="462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174,817</w:t>
            </w:r>
          </w:p>
        </w:tc>
      </w:tr>
      <w:tr>
        <w:trPr>
          <w:trHeight w:val="216"/>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w:t>
            </w:r>
          </w:p>
        </w:tc>
        <w:tc>
          <w:tcPr>
            <w:tcW w:w="46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Non-deductible expenses for tax purposes</w:t>
            </w:r>
          </w:p>
        </w:tc>
        <w:tc>
          <w:tcPr>
            <w:tcW w:w="462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58,966</w:t>
            </w:r>
          </w:p>
        </w:tc>
      </w:tr>
      <w:tr>
        <w:trPr>
          <w:trHeight w:val="216"/>
        </w:trPr>
        <w:tc>
          <w:tcPr>
            <w:tcW w:w="5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Effect of unrecognized temporary differences</w:t>
            </w:r>
          </w:p>
        </w:tc>
        <w:tc>
          <w:tcPr>
            <w:tcW w:w="46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(67,711)</w:t>
            </w:r>
          </w:p>
        </w:tc>
      </w:tr>
      <w:tr>
        <w:trPr>
          <w:trHeight w:val="216"/>
        </w:trPr>
        <w:tc>
          <w:tcPr>
            <w:tcW w:w="5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tax payments</w:t>
            </w:r>
          </w:p>
        </w:tc>
        <w:tc>
          <w:tcPr>
            <w:tcW w:w="462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Tax credits</w:t>
            </w:r>
          </w:p>
        </w:tc>
        <w:tc>
          <w:tcPr>
            <w:tcW w:w="46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(31,594)</w:t>
            </w:r>
          </w:p>
        </w:tc>
      </w:tr>
      <w:tr>
        <w:trPr>
          <w:trHeight w:val="216"/>
        </w:trPr>
        <w:tc>
          <w:tcPr>
            <w:tcW w:w="5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Others (e.g., tax rate differences)</w:t>
            </w:r>
          </w:p>
        </w:tc>
        <w:tc>
          <w:tcPr>
            <w:tcW w:w="462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13,656</w:t>
            </w:r>
          </w:p>
        </w:tc>
      </w:tr>
      <w:tr>
        <w:trPr>
          <w:trHeight w:val="216"/>
        </w:trPr>
        <w:tc>
          <w:tcPr>
            <w:tcW w:w="5360" w:type="dxa"/>
            <w:vAlign w:val="bottom"/>
            <w:shd w:val="clear" w:color="auto" w:fill="CCEEFF"/>
          </w:tcPr>
          <w:p>
            <w:pPr>
              <w:ind w:left="4580"/>
              <w:spacing w:after="0"/>
              <w:rPr>
                <w:sz w:val="20"/>
                <w:szCs w:val="20"/>
                <w:color w:val="auto"/>
              </w:rPr>
            </w:pPr>
            <w:r>
              <w:rPr>
                <w:rFonts w:ascii="Times New Roman" w:cs="Times New Roman" w:eastAsia="Times New Roman" w:hAnsi="Times New Roman"/>
                <w:sz w:val="18"/>
                <w:szCs w:val="18"/>
                <w:color w:val="auto"/>
              </w:rPr>
              <w:t>Subtotal</w:t>
            </w:r>
          </w:p>
        </w:tc>
        <w:tc>
          <w:tcPr>
            <w:tcW w:w="46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(26,683)</w:t>
            </w:r>
          </w:p>
        </w:tc>
      </w:tr>
      <w:tr>
        <w:trPr>
          <w:trHeight w:val="250"/>
        </w:trPr>
        <w:tc>
          <w:tcPr>
            <w:tcW w:w="53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4620" w:type="dxa"/>
            <w:vAlign w:val="bottom"/>
            <w:tcBorders>
              <w:bottom w:val="single" w:sz="8" w:color="CCEEFF"/>
            </w:tcBorders>
          </w:tcPr>
          <w:p>
            <w:pPr>
              <w:ind w:left="432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148,134</w:t>
            </w:r>
          </w:p>
        </w:tc>
        <w:tc>
          <w:tcPr>
            <w:tcW w:w="160" w:type="dxa"/>
            <w:vAlign w:val="bottom"/>
            <w:tcBorders>
              <w:bottom w:val="single" w:sz="8" w:color="CCEEFF"/>
            </w:tcBorders>
          </w:tcPr>
          <w:p>
            <w:pPr>
              <w:spacing w:after="0"/>
              <w:rPr>
                <w:sz w:val="21"/>
                <w:szCs w:val="21"/>
                <w:color w:val="auto"/>
              </w:rPr>
            </w:pPr>
          </w:p>
        </w:tc>
      </w:tr>
      <w:tr>
        <w:trPr>
          <w:trHeight w:val="196"/>
        </w:trPr>
        <w:tc>
          <w:tcPr>
            <w:tcW w:w="536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Effective tax rate</w:t>
            </w:r>
          </w:p>
        </w:tc>
        <w:tc>
          <w:tcPr>
            <w:tcW w:w="46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14.19%</w:t>
            </w:r>
          </w:p>
        </w:tc>
      </w:tr>
      <w:tr>
        <w:trPr>
          <w:trHeight w:val="560"/>
        </w:trPr>
        <w:tc>
          <w:tcPr>
            <w:tcW w:w="5360" w:type="dxa"/>
            <w:vAlign w:val="bottom"/>
            <w:tcBorders>
              <w:bottom w:val="single" w:sz="8" w:color="auto"/>
            </w:tcBorders>
          </w:tcPr>
          <w:p>
            <w:pPr>
              <w:spacing w:after="0"/>
              <w:rPr>
                <w:sz w:val="24"/>
                <w:szCs w:val="24"/>
                <w:color w:val="auto"/>
              </w:rPr>
            </w:pPr>
          </w:p>
        </w:tc>
        <w:tc>
          <w:tcPr>
            <w:tcW w:w="4620" w:type="dxa"/>
            <w:vAlign w:val="bottom"/>
            <w:tcBorders>
              <w:bottom w:val="single" w:sz="8" w:color="auto"/>
            </w:tcBorders>
          </w:tcPr>
          <w:p>
            <w:pPr>
              <w:jc w:val="right"/>
              <w:ind w:right="4170"/>
              <w:spacing w:after="0"/>
              <w:rPr>
                <w:sz w:val="20"/>
                <w:szCs w:val="20"/>
                <w:color w:val="auto"/>
              </w:rPr>
            </w:pPr>
            <w:r>
              <w:rPr>
                <w:rFonts w:ascii="Times New Roman" w:cs="Times New Roman" w:eastAsia="Times New Roman" w:hAnsi="Times New Roman"/>
                <w:sz w:val="18"/>
                <w:szCs w:val="18"/>
                <w:color w:val="auto"/>
              </w:rPr>
              <w:t>41</w:t>
            </w:r>
          </w:p>
        </w:tc>
        <w:tc>
          <w:tcPr>
            <w:tcW w:w="1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65" w:right="339" w:bottom="1440" w:gutter="0" w:footer="0" w:header="0"/>
        </w:sectPr>
      </w:pPr>
    </w:p>
    <w:bookmarkStart w:id="44" w:name="page45"/>
    <w:bookmarkEnd w:id="44"/>
    <w:p>
      <w:pPr>
        <w:jc w:val="center"/>
        <w:spacing w:after="0"/>
        <w:rPr>
          <w:sz w:val="20"/>
          <w:szCs w:val="20"/>
          <w:color w:val="auto"/>
        </w:rPr>
      </w:pPr>
      <w:r>
        <w:rPr>
          <w:rFonts w:ascii="Times New Roman" w:cs="Times New Roman" w:eastAsia="Times New Roman" w:hAnsi="Times New Roman"/>
          <w:sz w:val="18"/>
          <w:szCs w:val="18"/>
          <w:b w:val="1"/>
          <w:bCs w:val="1"/>
          <w:color w:val="auto"/>
        </w:rPr>
        <w:t>HANSOL INTICUBE CO.,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Deferred tax assets and liabilities</w:t>
      </w:r>
    </w:p>
    <w:p>
      <w:pPr>
        <w:sectPr>
          <w:pgSz w:w="11900" w:h="16838" w:orient="portrait"/>
          <w:cols w:equalWidth="0" w:num="1">
            <w:col w:w="11240"/>
          </w:cols>
          <w:pgMar w:left="320" w:top="765" w:right="339" w:bottom="1440" w:gutter="0" w:footer="0" w:header="0"/>
        </w:sect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Deferred tax assets and liabilities as of December 31, 2025 are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Deferred tax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To be recovered after 12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54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To be recovered within 12 months</w:t>
      </w:r>
    </w:p>
    <w:p>
      <w:pPr>
        <w:spacing w:after="0" w:line="9" w:lineRule="exact"/>
        <w:rPr>
          <w:sz w:val="20"/>
          <w:szCs w:val="20"/>
          <w:color w:val="auto"/>
        </w:rPr>
      </w:pPr>
    </w:p>
    <w:p>
      <w:pPr>
        <w:jc w:val="center"/>
        <w:ind w:left="780"/>
        <w:spacing w:after="0"/>
        <w:rPr>
          <w:sz w:val="20"/>
          <w:szCs w:val="20"/>
          <w:color w:val="auto"/>
        </w:rPr>
      </w:pPr>
      <w:r>
        <w:rPr>
          <w:rFonts w:ascii="Times New Roman" w:cs="Times New Roman" w:eastAsia="Times New Roman" w:hAnsi="Times New Roman"/>
          <w:sz w:val="18"/>
          <w:szCs w:val="18"/>
          <w:color w:val="auto"/>
        </w:rPr>
        <w:t>Subtotal</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Deferred tax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5430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To be settled after 12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460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To be settled within 12 months</w:t>
      </w:r>
    </w:p>
    <w:p>
      <w:pPr>
        <w:spacing w:after="0" w:line="9" w:lineRule="exact"/>
        <w:rPr>
          <w:sz w:val="20"/>
          <w:szCs w:val="20"/>
          <w:color w:val="auto"/>
        </w:rPr>
      </w:pPr>
    </w:p>
    <w:p>
      <w:pPr>
        <w:jc w:val="center"/>
        <w:ind w:left="780"/>
        <w:spacing w:after="0"/>
        <w:rPr>
          <w:sz w:val="20"/>
          <w:szCs w:val="20"/>
          <w:color w:val="auto"/>
        </w:rPr>
      </w:pPr>
      <w:r>
        <w:rPr>
          <w:rFonts w:ascii="Times New Roman" w:cs="Times New Roman" w:eastAsia="Times New Roman" w:hAnsi="Times New Roman"/>
          <w:sz w:val="18"/>
          <w:szCs w:val="18"/>
          <w:color w:val="auto"/>
        </w:rPr>
        <w:t>Subtotal</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deferred tax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5430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Changes in deferred tax assets and liabilities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180975</wp:posOffset>
            </wp:positionH>
            <wp:positionV relativeFrom="paragraph">
              <wp:posOffset>5715</wp:posOffset>
            </wp:positionV>
            <wp:extent cx="70294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02945" cy="8255"/>
                    </a:xfrm>
                    <a:prstGeom prst="rect">
                      <a:avLst/>
                    </a:prstGeom>
                    <a:noFill/>
                  </pic:spPr>
                </pic:pic>
              </a:graphicData>
            </a:graphic>
          </wp:anchor>
        </w:drawing>
      </w: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of Korean</w:t>
      </w:r>
    </w:p>
    <w:p>
      <w:pPr>
        <w:spacing w:after="0" w:line="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won)</w:t>
      </w:r>
    </w:p>
    <w:p>
      <w:pPr>
        <w:spacing w:after="0" w:line="207"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4,512,415</w:t>
      </w:r>
    </w:p>
    <w:p>
      <w:pPr>
        <w:spacing w:after="0" w:line="27"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278,694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180975</wp:posOffset>
            </wp:positionH>
            <wp:positionV relativeFrom="paragraph">
              <wp:posOffset>14605</wp:posOffset>
            </wp:positionV>
            <wp:extent cx="70294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02945" cy="8255"/>
                    </a:xfrm>
                    <a:prstGeom prst="rect">
                      <a:avLst/>
                    </a:prstGeom>
                    <a:noFill/>
                  </pic:spPr>
                </pic:pic>
              </a:graphicData>
            </a:graphic>
          </wp:anchor>
        </w:drawing>
      </w:r>
    </w:p>
    <w:p>
      <w:pPr>
        <w:spacing w:after="0" w:line="3"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4,791,109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180975</wp:posOffset>
            </wp:positionH>
            <wp:positionV relativeFrom="paragraph">
              <wp:posOffset>14605</wp:posOffset>
            </wp:positionV>
            <wp:extent cx="70294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02945" cy="8255"/>
                    </a:xfrm>
                    <a:prstGeom prst="rect">
                      <a:avLst/>
                    </a:prstGeom>
                    <a:noFill/>
                  </pic:spPr>
                </pic:pic>
              </a:graphicData>
            </a:graphic>
          </wp:anchor>
        </w:drawing>
      </w:r>
    </w:p>
    <w:p>
      <w:pPr>
        <w:spacing w:after="0" w:line="241"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(2,486,227)</w:t>
      </w:r>
    </w:p>
    <w:p>
      <w:pPr>
        <w:spacing w:after="0" w:line="27"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(22,666)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180975</wp:posOffset>
            </wp:positionH>
            <wp:positionV relativeFrom="paragraph">
              <wp:posOffset>14605</wp:posOffset>
            </wp:positionV>
            <wp:extent cx="70294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02945" cy="8255"/>
                    </a:xfrm>
                    <a:prstGeom prst="rect">
                      <a:avLst/>
                    </a:prstGeom>
                    <a:noFill/>
                  </pic:spPr>
                </pic:pic>
              </a:graphicData>
            </a:graphic>
          </wp:anchor>
        </w:drawing>
      </w:r>
    </w:p>
    <w:p>
      <w:pPr>
        <w:spacing w:after="0" w:line="3"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(2,508,893)</w:t>
      </w:r>
    </w:p>
    <w:p>
      <w:pPr>
        <w:spacing w:after="0" w:line="23" w:lineRule="exact"/>
        <w:rPr>
          <w:sz w:val="20"/>
          <w:szCs w:val="20"/>
          <w:color w:val="auto"/>
        </w:rPr>
      </w:pPr>
    </w:p>
    <w:p>
      <w:pPr>
        <w:ind w:left="680" w:hanging="679"/>
        <w:spacing w:after="0"/>
        <w:tabs>
          <w:tab w:leader="none" w:pos="680" w:val="left"/>
        </w:tabs>
        <w:numPr>
          <w:ilvl w:val="0"/>
          <w:numId w:val="68"/>
        </w:numPr>
        <w:rPr>
          <w:rFonts w:ascii="Arial" w:cs="Arial" w:eastAsia="Arial" w:hAnsi="Arial"/>
          <w:sz w:val="18"/>
          <w:szCs w:val="18"/>
          <w:color w:val="auto"/>
        </w:rPr>
      </w:pPr>
      <w:r>
        <w:rPr>
          <w:rFonts w:ascii="Times New Roman" w:cs="Times New Roman" w:eastAsia="Times New Roman" w:hAnsi="Times New Roman"/>
          <w:sz w:val="18"/>
          <w:szCs w:val="18"/>
          <w:color w:val="auto"/>
        </w:rPr>
        <w:t>2,282,216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180975</wp:posOffset>
            </wp:positionH>
            <wp:positionV relativeFrom="paragraph">
              <wp:posOffset>31115</wp:posOffset>
            </wp:positionV>
            <wp:extent cx="70294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02945" cy="8255"/>
                    </a:xfrm>
                    <a:prstGeom prst="rect">
                      <a:avLst/>
                    </a:prstGeom>
                    <a:noFill/>
                  </pic:spPr>
                </pic:pic>
              </a:graphicData>
            </a:graphic>
          </wp:anchor>
        </w:drawing>
      </w:r>
    </w:p>
    <w:p>
      <w:pPr>
        <w:spacing w:after="0" w:line="662" w:lineRule="exact"/>
        <w:rPr>
          <w:sz w:val="20"/>
          <w:szCs w:val="20"/>
          <w:color w:val="auto"/>
        </w:rPr>
      </w:pPr>
    </w:p>
    <w:p>
      <w:pPr>
        <w:sectPr>
          <w:pgSz w:w="11900" w:h="16838" w:orient="portrait"/>
          <w:cols w:equalWidth="0" w:num="2">
            <w:col w:w="9020" w:space="720"/>
            <w:col w:w="1500"/>
          </w:cols>
          <w:pgMar w:left="320" w:top="765" w:right="339" w:bottom="1440" w:gutter="0" w:footer="0" w:header="0"/>
          <w:type w:val="continuous"/>
        </w:sectPr>
      </w:pPr>
    </w:p>
    <w:p>
      <w:pPr>
        <w:spacing w:after="0" w:line="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Changes in deferred tax assets (liabilities) recognized in the consolidated statement of financial position for the year ended December 31, 2025 are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55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320" w:type="dxa"/>
            <w:vAlign w:val="bottom"/>
            <w:tcBorders>
              <w:bottom w:val="single" w:sz="8" w:color="auto"/>
            </w:tcBorders>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Beginning</w:t>
            </w:r>
          </w:p>
        </w:tc>
        <w:tc>
          <w:tcPr>
            <w:tcW w:w="132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Changes</w:t>
            </w:r>
          </w:p>
        </w:tc>
        <w:tc>
          <w:tcPr>
            <w:tcW w:w="11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Ending</w:t>
            </w:r>
          </w:p>
        </w:tc>
        <w:tc>
          <w:tcPr>
            <w:tcW w:w="100" w:type="dxa"/>
            <w:vAlign w:val="bottom"/>
          </w:tcPr>
          <w:p>
            <w:pPr>
              <w:spacing w:after="0"/>
              <w:rPr>
                <w:sz w:val="18"/>
                <w:szCs w:val="18"/>
                <w:color w:val="auto"/>
              </w:rPr>
            </w:pPr>
          </w:p>
        </w:tc>
      </w:tr>
      <w:tr>
        <w:trPr>
          <w:trHeight w:val="209"/>
        </w:trPr>
        <w:tc>
          <w:tcPr>
            <w:tcW w:w="55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3760" w:type="dxa"/>
            <w:vAlign w:val="bottom"/>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 thousands of Korean won)</w:t>
            </w:r>
          </w:p>
        </w:tc>
        <w:tc>
          <w:tcPr>
            <w:tcW w:w="100" w:type="dxa"/>
            <w:vAlign w:val="bottom"/>
          </w:tcPr>
          <w:p>
            <w:pPr>
              <w:spacing w:after="0"/>
              <w:rPr>
                <w:sz w:val="18"/>
                <w:szCs w:val="18"/>
                <w:color w:val="auto"/>
              </w:rPr>
            </w:pP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related to temporary differences:</w:t>
            </w:r>
          </w:p>
        </w:tc>
        <w:tc>
          <w:tcPr>
            <w:tcW w:w="18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Defined benefit obligation</w:t>
            </w:r>
          </w:p>
        </w:tc>
        <w:tc>
          <w:tcPr>
            <w:tcW w:w="1860" w:type="dxa"/>
            <w:vAlign w:val="bottom"/>
          </w:tcPr>
          <w:p>
            <w:pPr>
              <w:ind w:left="158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159,009</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(66,249)</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92,760</w:t>
            </w:r>
          </w:p>
        </w:tc>
      </w:tr>
      <w:tr>
        <w:trPr>
          <w:trHeight w:val="216"/>
        </w:trPr>
        <w:tc>
          <w:tcPr>
            <w:tcW w:w="5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18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156,142</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(3,696)</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152,446</w:t>
            </w:r>
          </w:p>
        </w:tc>
      </w:tr>
      <w:tr>
        <w:trPr>
          <w:trHeight w:val="216"/>
        </w:trPr>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186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99,699</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15,802</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115,501</w:t>
            </w:r>
          </w:p>
        </w:tc>
      </w:tr>
      <w:tr>
        <w:trPr>
          <w:trHeight w:val="216"/>
        </w:trPr>
        <w:tc>
          <w:tcPr>
            <w:tcW w:w="5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Intangible assets</w:t>
            </w:r>
          </w:p>
        </w:tc>
        <w:tc>
          <w:tcPr>
            <w:tcW w:w="18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7,798</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1,044</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8,842</w:t>
            </w:r>
          </w:p>
        </w:tc>
      </w:tr>
      <w:tr>
        <w:trPr>
          <w:trHeight w:val="216"/>
        </w:trPr>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receivable</w:t>
            </w:r>
          </w:p>
        </w:tc>
        <w:tc>
          <w:tcPr>
            <w:tcW w:w="186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(113)</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79</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5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18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184,896</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79,125</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264,021</w:t>
            </w:r>
          </w:p>
        </w:tc>
      </w:tr>
      <w:tr>
        <w:trPr>
          <w:trHeight w:val="216"/>
        </w:trPr>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Financial assets at FVTPL</w:t>
            </w:r>
          </w:p>
        </w:tc>
        <w:tc>
          <w:tcPr>
            <w:tcW w:w="186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(27,758)</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(7,987)</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(35,745)</w:t>
            </w:r>
          </w:p>
        </w:tc>
      </w:tr>
      <w:tr>
        <w:trPr>
          <w:trHeight w:val="216"/>
        </w:trPr>
        <w:tc>
          <w:tcPr>
            <w:tcW w:w="5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Investments in subsidiaries</w:t>
            </w:r>
          </w:p>
        </w:tc>
        <w:tc>
          <w:tcPr>
            <w:tcW w:w="18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1,143,037</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1,143,037</w:t>
            </w:r>
          </w:p>
        </w:tc>
      </w:tr>
      <w:tr>
        <w:trPr>
          <w:trHeight w:val="216"/>
        </w:trPr>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Leases</w:t>
            </w:r>
          </w:p>
        </w:tc>
        <w:tc>
          <w:tcPr>
            <w:tcW w:w="186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(4,919)</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4,753</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(166)</w:t>
            </w:r>
          </w:p>
        </w:tc>
      </w:tr>
      <w:tr>
        <w:trPr>
          <w:trHeight w:val="216"/>
        </w:trPr>
        <w:tc>
          <w:tcPr>
            <w:tcW w:w="5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Provisions</w:t>
            </w:r>
          </w:p>
        </w:tc>
        <w:tc>
          <w:tcPr>
            <w:tcW w:w="18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176,058</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(51,229)</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124,829</w:t>
            </w:r>
          </w:p>
        </w:tc>
      </w:tr>
      <w:tr>
        <w:trPr>
          <w:trHeight w:val="216"/>
        </w:trPr>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Present value discount on guarantee deposits</w:t>
            </w:r>
          </w:p>
        </w:tc>
        <w:tc>
          <w:tcPr>
            <w:tcW w:w="186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3,080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2,267</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5,347</w:t>
            </w:r>
          </w:p>
        </w:tc>
      </w:tr>
      <w:tr>
        <w:trPr>
          <w:trHeight w:val="216"/>
        </w:trPr>
        <w:tc>
          <w:tcPr>
            <w:tcW w:w="5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Others</w:t>
            </w:r>
          </w:p>
        </w:tc>
        <w:tc>
          <w:tcPr>
            <w:tcW w:w="18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(27,869)</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41,107</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13,238</w:t>
            </w:r>
          </w:p>
        </w:tc>
      </w:tr>
      <w:tr>
        <w:trPr>
          <w:trHeight w:val="250"/>
        </w:trPr>
        <w:tc>
          <w:tcPr>
            <w:tcW w:w="5520" w:type="dxa"/>
            <w:vAlign w:val="bottom"/>
            <w:tcBorders>
              <w:bottom w:val="single" w:sz="8" w:color="CCEEFF"/>
            </w:tcBorders>
          </w:tcPr>
          <w:p>
            <w:pPr>
              <w:ind w:left="3360"/>
              <w:spacing w:after="0"/>
              <w:rPr>
                <w:sz w:val="20"/>
                <w:szCs w:val="20"/>
                <w:color w:val="auto"/>
              </w:rPr>
            </w:pPr>
            <w:r>
              <w:rPr>
                <w:rFonts w:ascii="Times New Roman" w:cs="Times New Roman" w:eastAsia="Times New Roman" w:hAnsi="Times New Roman"/>
                <w:sz w:val="18"/>
                <w:szCs w:val="18"/>
                <w:color w:val="auto"/>
              </w:rPr>
              <w:t>Subtotal</w:t>
            </w:r>
          </w:p>
        </w:tc>
        <w:tc>
          <w:tcPr>
            <w:tcW w:w="1860" w:type="dxa"/>
            <w:vAlign w:val="bottom"/>
            <w:tcBorders>
              <w:bottom w:val="single" w:sz="8" w:color="CCEEFF"/>
            </w:tcBorders>
          </w:tcPr>
          <w:p>
            <w:pPr>
              <w:spacing w:after="0"/>
              <w:rPr>
                <w:sz w:val="21"/>
                <w:szCs w:val="21"/>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1,869,060</w:t>
            </w:r>
          </w:p>
        </w:tc>
        <w:tc>
          <w:tcPr>
            <w:tcW w:w="220" w:type="dxa"/>
            <w:vAlign w:val="bottom"/>
            <w:tcBorders>
              <w:bottom w:val="single" w:sz="8" w:color="CCEEFF"/>
            </w:tcBorders>
          </w:tcPr>
          <w:p>
            <w:pPr>
              <w:spacing w:after="0"/>
              <w:rPr>
                <w:sz w:val="21"/>
                <w:szCs w:val="21"/>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15,016</w:t>
            </w:r>
          </w:p>
        </w:tc>
        <w:tc>
          <w:tcPr>
            <w:tcW w:w="220" w:type="dxa"/>
            <w:vAlign w:val="bottom"/>
            <w:tcBorders>
              <w:bottom w:val="single" w:sz="8" w:color="CCEEFF"/>
            </w:tcBorders>
          </w:tcPr>
          <w:p>
            <w:pPr>
              <w:spacing w:after="0"/>
              <w:rPr>
                <w:sz w:val="21"/>
                <w:szCs w:val="21"/>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1,884,076</w:t>
            </w:r>
          </w:p>
        </w:tc>
        <w:tc>
          <w:tcPr>
            <w:tcW w:w="100" w:type="dxa"/>
            <w:vAlign w:val="bottom"/>
            <w:tcBorders>
              <w:bottom w:val="single" w:sz="8" w:color="CCEEFF"/>
            </w:tcBorders>
          </w:tcPr>
          <w:p>
            <w:pPr>
              <w:spacing w:after="0"/>
              <w:rPr>
                <w:sz w:val="21"/>
                <w:szCs w:val="21"/>
                <w:color w:val="auto"/>
              </w:rPr>
            </w:pPr>
          </w:p>
        </w:tc>
      </w:tr>
      <w:tr>
        <w:trPr>
          <w:trHeight w:val="196"/>
        </w:trPr>
        <w:tc>
          <w:tcPr>
            <w:tcW w:w="5520" w:type="dxa"/>
            <w:vAlign w:val="bottom"/>
            <w:shd w:val="clear" w:color="auto" w:fill="CCEEFF"/>
          </w:tcPr>
          <w:p>
            <w:pPr>
              <w:ind w:left="180"/>
              <w:spacing w:after="0" w:line="195" w:lineRule="exact"/>
              <w:rPr>
                <w:sz w:val="20"/>
                <w:szCs w:val="20"/>
                <w:color w:val="auto"/>
              </w:rPr>
            </w:pPr>
            <w:r>
              <w:rPr>
                <w:rFonts w:ascii="Times New Roman" w:cs="Times New Roman" w:eastAsia="Times New Roman" w:hAnsi="Times New Roman"/>
                <w:sz w:val="18"/>
                <w:szCs w:val="18"/>
                <w:color w:val="auto"/>
              </w:rPr>
              <w:t>Tax loss carryforwards</w:t>
            </w:r>
          </w:p>
        </w:tc>
        <w:tc>
          <w:tcPr>
            <w:tcW w:w="18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1,859,942</w:t>
            </w: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(16,746)</w:t>
            </w: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1,843,196</w:t>
            </w:r>
          </w:p>
        </w:tc>
        <w:tc>
          <w:tcPr>
            <w:tcW w:w="100" w:type="dxa"/>
            <w:vAlign w:val="bottom"/>
            <w:shd w:val="clear" w:color="auto" w:fill="CCEEFF"/>
          </w:tcPr>
          <w:p>
            <w:pPr>
              <w:spacing w:after="0"/>
              <w:rPr>
                <w:sz w:val="17"/>
                <w:szCs w:val="17"/>
                <w:color w:val="auto"/>
              </w:rPr>
            </w:pPr>
          </w:p>
        </w:tc>
      </w:tr>
      <w:tr>
        <w:trPr>
          <w:trHeight w:val="216"/>
        </w:trPr>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Tax credit carryforwards</w:t>
            </w:r>
          </w:p>
        </w:tc>
        <w:tc>
          <w:tcPr>
            <w:tcW w:w="1860" w:type="dxa"/>
            <w:vAlign w:val="bottom"/>
          </w:tcPr>
          <w:p>
            <w:pPr>
              <w:ind w:left="158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328,097</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(1,729)</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326,368</w:t>
            </w:r>
          </w:p>
        </w:tc>
      </w:tr>
      <w:tr>
        <w:trPr>
          <w:trHeight w:val="216"/>
        </w:trPr>
        <w:tc>
          <w:tcPr>
            <w:tcW w:w="5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Unrecognized deferred tax assets (*)</w:t>
            </w:r>
          </w:p>
        </w:tc>
        <w:tc>
          <w:tcPr>
            <w:tcW w:w="18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(1,723,926)</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(47,498)</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(1,771,424)</w:t>
            </w:r>
          </w:p>
        </w:tc>
      </w:tr>
      <w:tr>
        <w:trPr>
          <w:trHeight w:val="234"/>
        </w:trPr>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Recognized deferred tax assets</w:t>
            </w:r>
          </w:p>
        </w:tc>
        <w:tc>
          <w:tcPr>
            <w:tcW w:w="186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2,333,174</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(50,958)</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2,282,216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17830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186" w:lineRule="exact"/>
        <w:rPr>
          <w:sz w:val="20"/>
          <w:szCs w:val="20"/>
          <w:color w:val="auto"/>
        </w:rPr>
      </w:pPr>
    </w:p>
    <w:p>
      <w:pPr>
        <w:ind w:left="340" w:hanging="332"/>
        <w:spacing w:after="0" w:line="282" w:lineRule="auto"/>
        <w:tabs>
          <w:tab w:leader="none" w:pos="3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realizability of deferred tax assets is assessed based on various factors, including the Group’s performance, overall economic conditions, industry outlook, and expected future taxable income.</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45" w:name="page46"/>
    <w:bookmarkEnd w:id="45"/>
    <w:p>
      <w:pPr>
        <w:jc w:val="center"/>
        <w:spacing w:after="0"/>
        <w:rPr>
          <w:sz w:val="20"/>
          <w:szCs w:val="20"/>
          <w:color w:val="auto"/>
        </w:rPr>
      </w:pPr>
      <w:r>
        <w:rPr>
          <w:rFonts w:ascii="Times New Roman" w:cs="Times New Roman" w:eastAsia="Times New Roman" w:hAnsi="Times New Roman"/>
          <w:sz w:val="18"/>
          <w:szCs w:val="18"/>
          <w:b w:val="1"/>
          <w:bCs w:val="1"/>
          <w:color w:val="auto"/>
        </w:rPr>
        <w:t>HANSOL INTICUBE CO.,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  Deferred tax recognized in equity</w:t>
            </w:r>
          </w:p>
        </w:tc>
        <w:tc>
          <w:tcPr>
            <w:tcW w:w="4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recognized directly in equity for the year ended December 31, 2025 is as follows:</w:t>
            </w:r>
          </w:p>
        </w:tc>
        <w:tc>
          <w:tcPr>
            <w:tcW w:w="4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6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9"/>
        </w:trPr>
        <w:tc>
          <w:tcPr>
            <w:tcW w:w="6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Before Tax</w:t>
            </w:r>
          </w:p>
        </w:tc>
        <w:tc>
          <w:tcPr>
            <w:tcW w:w="132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6"/>
              </w:rPr>
              <w:t>Tax Effect</w:t>
            </w: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After Tax</w:t>
            </w:r>
          </w:p>
        </w:tc>
        <w:tc>
          <w:tcPr>
            <w:tcW w:w="100" w:type="dxa"/>
            <w:vAlign w:val="bottom"/>
          </w:tcPr>
          <w:p>
            <w:pPr>
              <w:spacing w:after="0"/>
              <w:rPr>
                <w:sz w:val="18"/>
                <w:szCs w:val="18"/>
                <w:color w:val="auto"/>
              </w:rPr>
            </w:pPr>
          </w:p>
        </w:tc>
      </w:tr>
      <w:tr>
        <w:trPr>
          <w:trHeight w:val="209"/>
        </w:trPr>
        <w:tc>
          <w:tcPr>
            <w:tcW w:w="6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76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 thousands of Korean won)</w:t>
            </w:r>
          </w:p>
        </w:tc>
        <w:tc>
          <w:tcPr>
            <w:tcW w:w="100" w:type="dxa"/>
            <w:vAlign w:val="bottom"/>
          </w:tcPr>
          <w:p>
            <w:pPr>
              <w:spacing w:after="0"/>
              <w:rPr>
                <w:sz w:val="18"/>
                <w:szCs w:val="18"/>
                <w:color w:val="auto"/>
              </w:rPr>
            </w:pPr>
          </w:p>
        </w:tc>
      </w:tr>
      <w:tr>
        <w:trPr>
          <w:trHeight w:val="216"/>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Remeasurements of defined benefit obligations</w:t>
            </w:r>
          </w:p>
        </w:tc>
        <w:tc>
          <w:tcPr>
            <w:tcW w:w="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(430,266)</w:t>
            </w:r>
          </w:p>
        </w:tc>
        <w:tc>
          <w:tcPr>
            <w:tcW w:w="1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86,160</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(344,105)</w:t>
            </w:r>
          </w:p>
        </w:tc>
      </w:tr>
      <w:tr>
        <w:trPr>
          <w:trHeight w:val="432"/>
        </w:trPr>
        <w:tc>
          <w:tcPr>
            <w:tcW w:w="6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  Unrecognized deferred tax assets</w:t>
            </w:r>
          </w:p>
        </w:tc>
        <w:tc>
          <w:tcPr>
            <w:tcW w:w="4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100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Significant temporary differences for which deferred tax assets have not been recognized as of December 31, 2025 are as follows:</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6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8"/>
        </w:trPr>
        <w:tc>
          <w:tcPr>
            <w:tcW w:w="69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20"/>
                <w:szCs w:val="20"/>
                <w:color w:val="auto"/>
              </w:rPr>
            </w:pPr>
          </w:p>
        </w:tc>
      </w:tr>
      <w:tr>
        <w:trPr>
          <w:trHeight w:val="187"/>
        </w:trPr>
        <w:tc>
          <w:tcPr>
            <w:tcW w:w="69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12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8"/>
              </w:rPr>
              <w:t>(In thousands</w:t>
            </w:r>
          </w:p>
        </w:tc>
        <w:tc>
          <w:tcPr>
            <w:tcW w:w="100" w:type="dxa"/>
            <w:vAlign w:val="bottom"/>
          </w:tcPr>
          <w:p>
            <w:pPr>
              <w:spacing w:after="0"/>
              <w:rPr>
                <w:sz w:val="16"/>
                <w:szCs w:val="16"/>
                <w:color w:val="auto"/>
              </w:rPr>
            </w:pPr>
          </w:p>
        </w:tc>
      </w:tr>
      <w:tr>
        <w:trPr>
          <w:trHeight w:val="216"/>
        </w:trPr>
        <w:tc>
          <w:tcPr>
            <w:tcW w:w="6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of Korean</w:t>
            </w:r>
          </w:p>
        </w:tc>
      </w:tr>
      <w:tr>
        <w:trPr>
          <w:trHeight w:val="238"/>
        </w:trPr>
        <w:tc>
          <w:tcPr>
            <w:tcW w:w="69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won)</w:t>
            </w:r>
          </w:p>
        </w:tc>
      </w:tr>
      <w:tr>
        <w:trPr>
          <w:trHeight w:val="216"/>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Temporary differences</w:t>
            </w:r>
          </w:p>
        </w:tc>
        <w:tc>
          <w:tcPr>
            <w:tcW w:w="4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309,044</w:t>
            </w:r>
          </w:p>
        </w:tc>
      </w:tr>
      <w:tr>
        <w:trPr>
          <w:trHeight w:val="216"/>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Temporary differences – allowance for doubtful accounts</w:t>
            </w:r>
          </w:p>
        </w:tc>
        <w:tc>
          <w:tcPr>
            <w:tcW w:w="4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686,541</w:t>
            </w:r>
          </w:p>
        </w:tc>
      </w:tr>
      <w:tr>
        <w:trPr>
          <w:trHeight w:val="216"/>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Temporary differences – investments in subsidiaries</w:t>
            </w:r>
          </w:p>
        </w:tc>
        <w:tc>
          <w:tcPr>
            <w:tcW w:w="4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5,469,074</w:t>
            </w:r>
          </w:p>
        </w:tc>
      </w:tr>
      <w:tr>
        <w:trPr>
          <w:trHeight w:val="216"/>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Tax loss carryforwards</w:t>
            </w:r>
          </w:p>
        </w:tc>
        <w:tc>
          <w:tcPr>
            <w:tcW w:w="4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3,570,131</w:t>
            </w:r>
          </w:p>
        </w:tc>
      </w:tr>
      <w:tr>
        <w:trPr>
          <w:trHeight w:val="216"/>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credit carryforwards</w:t>
            </w:r>
          </w:p>
        </w:tc>
        <w:tc>
          <w:tcPr>
            <w:tcW w:w="4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58,190</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  Expiry of tax losses and tax credits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Expiry of tax loss carryforwards and tax credits for which deferred tax assets have not been recognized as of December 31, 2025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40" w:type="dxa"/>
            <w:vAlign w:val="bottom"/>
          </w:tcPr>
          <w:p>
            <w:pPr>
              <w:spacing w:after="0"/>
              <w:rPr>
                <w:sz w:val="18"/>
                <w:szCs w:val="18"/>
                <w:color w:val="auto"/>
              </w:rPr>
            </w:pPr>
          </w:p>
        </w:tc>
        <w:tc>
          <w:tcPr>
            <w:tcW w:w="5400" w:type="dxa"/>
            <w:vAlign w:val="bottom"/>
          </w:tcPr>
          <w:p>
            <w:pPr>
              <w:spacing w:after="0"/>
              <w:rPr>
                <w:sz w:val="18"/>
                <w:szCs w:val="18"/>
                <w:color w:val="auto"/>
              </w:rPr>
            </w:pPr>
          </w:p>
        </w:tc>
        <w:tc>
          <w:tcPr>
            <w:tcW w:w="26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3240" w:type="dxa"/>
            <w:vAlign w:val="bottom"/>
          </w:tcPr>
          <w:p>
            <w:pPr>
              <w:spacing w:after="0"/>
              <w:rPr>
                <w:sz w:val="20"/>
                <w:szCs w:val="20"/>
                <w:color w:val="auto"/>
              </w:rPr>
            </w:pPr>
          </w:p>
        </w:tc>
        <w:tc>
          <w:tcPr>
            <w:tcW w:w="5400" w:type="dxa"/>
            <w:vAlign w:val="bottom"/>
          </w:tcPr>
          <w:p>
            <w:pPr>
              <w:spacing w:after="0"/>
              <w:rPr>
                <w:sz w:val="20"/>
                <w:szCs w:val="20"/>
                <w:color w:val="auto"/>
              </w:rPr>
            </w:pPr>
          </w:p>
        </w:tc>
        <w:tc>
          <w:tcPr>
            <w:tcW w:w="1460" w:type="dxa"/>
            <w:vAlign w:val="bottom"/>
            <w:tcBorders>
              <w:bottom w:val="single" w:sz="8" w:color="auto"/>
            </w:tcBorders>
          </w:tcPr>
          <w:p>
            <w:pPr>
              <w:jc w:val="center"/>
              <w:ind w:left="97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3240" w:type="dxa"/>
            <w:vAlign w:val="bottom"/>
          </w:tcPr>
          <w:p>
            <w:pPr>
              <w:spacing w:after="0"/>
              <w:rPr>
                <w:sz w:val="16"/>
                <w:szCs w:val="16"/>
                <w:color w:val="auto"/>
              </w:rPr>
            </w:pPr>
          </w:p>
        </w:tc>
        <w:tc>
          <w:tcPr>
            <w:tcW w:w="5400" w:type="dxa"/>
            <w:vAlign w:val="bottom"/>
          </w:tcPr>
          <w:p>
            <w:pPr>
              <w:spacing w:after="0"/>
              <w:rPr>
                <w:sz w:val="16"/>
                <w:szCs w:val="16"/>
                <w:color w:val="auto"/>
              </w:rPr>
            </w:pPr>
          </w:p>
        </w:tc>
        <w:tc>
          <w:tcPr>
            <w:tcW w:w="1460" w:type="dxa"/>
            <w:vAlign w:val="bottom"/>
          </w:tcPr>
          <w:p>
            <w:pPr>
              <w:jc w:val="center"/>
              <w:ind w:right="210"/>
              <w:spacing w:after="0" w:line="188" w:lineRule="exact"/>
              <w:rPr>
                <w:sz w:val="20"/>
                <w:szCs w:val="20"/>
                <w:color w:val="auto"/>
              </w:rPr>
            </w:pPr>
            <w:r>
              <w:rPr>
                <w:rFonts w:ascii="Times New Roman" w:cs="Times New Roman" w:eastAsia="Times New Roman" w:hAnsi="Times New Roman"/>
                <w:sz w:val="18"/>
                <w:szCs w:val="18"/>
                <w:b w:val="1"/>
                <w:bCs w:val="1"/>
                <w:color w:val="auto"/>
                <w:w w:val="97"/>
              </w:rPr>
              <w:t>Tax Loss</w:t>
            </w: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3240" w:type="dxa"/>
            <w:vAlign w:val="bottom"/>
          </w:tcPr>
          <w:p>
            <w:pPr>
              <w:spacing w:after="0"/>
              <w:rPr>
                <w:sz w:val="20"/>
                <w:szCs w:val="20"/>
                <w:color w:val="auto"/>
              </w:rPr>
            </w:pPr>
          </w:p>
        </w:tc>
        <w:tc>
          <w:tcPr>
            <w:tcW w:w="5400" w:type="dxa"/>
            <w:vAlign w:val="bottom"/>
          </w:tcPr>
          <w:p>
            <w:pPr>
              <w:spacing w:after="0"/>
              <w:rPr>
                <w:sz w:val="20"/>
                <w:szCs w:val="20"/>
                <w:color w:val="auto"/>
              </w:rPr>
            </w:pPr>
          </w:p>
        </w:tc>
        <w:tc>
          <w:tcPr>
            <w:tcW w:w="146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rPr>
              <w:t>Carryforwards</w:t>
            </w:r>
          </w:p>
        </w:tc>
        <w:tc>
          <w:tcPr>
            <w:tcW w:w="11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Tax Credits</w:t>
            </w:r>
          </w:p>
        </w:tc>
      </w:tr>
      <w:tr>
        <w:trPr>
          <w:trHeight w:val="210"/>
        </w:trPr>
        <w:tc>
          <w:tcPr>
            <w:tcW w:w="3240" w:type="dxa"/>
            <w:vAlign w:val="bottom"/>
          </w:tcPr>
          <w:p>
            <w:pPr>
              <w:spacing w:after="0"/>
              <w:rPr>
                <w:sz w:val="18"/>
                <w:szCs w:val="18"/>
                <w:color w:val="auto"/>
              </w:rPr>
            </w:pPr>
          </w:p>
        </w:tc>
        <w:tc>
          <w:tcPr>
            <w:tcW w:w="5400" w:type="dxa"/>
            <w:vAlign w:val="bottom"/>
          </w:tcPr>
          <w:p>
            <w:pPr>
              <w:spacing w:after="0"/>
              <w:rPr>
                <w:sz w:val="18"/>
                <w:szCs w:val="18"/>
                <w:color w:val="auto"/>
              </w:rPr>
            </w:pPr>
          </w:p>
        </w:tc>
        <w:tc>
          <w:tcPr>
            <w:tcW w:w="250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 thousands of Korean won)</w:t>
            </w:r>
          </w:p>
        </w:tc>
        <w:tc>
          <w:tcPr>
            <w:tcW w:w="100" w:type="dxa"/>
            <w:vAlign w:val="bottom"/>
          </w:tcPr>
          <w:p>
            <w:pPr>
              <w:spacing w:after="0"/>
              <w:rPr>
                <w:sz w:val="18"/>
                <w:szCs w:val="18"/>
                <w:color w:val="auto"/>
              </w:rPr>
            </w:pP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Over 3 years</w:t>
            </w:r>
          </w:p>
        </w:tc>
        <w:tc>
          <w:tcPr>
            <w:tcW w:w="5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3,570,131</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58,190</w:t>
            </w:r>
          </w:p>
        </w:tc>
      </w:tr>
      <w:tr>
        <w:trPr>
          <w:trHeight w:val="561"/>
        </w:trPr>
        <w:tc>
          <w:tcPr>
            <w:tcW w:w="3240" w:type="dxa"/>
            <w:vAlign w:val="bottom"/>
            <w:tcBorders>
              <w:bottom w:val="single" w:sz="8" w:color="auto"/>
            </w:tcBorders>
          </w:tcPr>
          <w:p>
            <w:pPr>
              <w:spacing w:after="0"/>
              <w:rPr>
                <w:sz w:val="24"/>
                <w:szCs w:val="24"/>
                <w:color w:val="auto"/>
              </w:rPr>
            </w:pPr>
          </w:p>
        </w:tc>
        <w:tc>
          <w:tcPr>
            <w:tcW w:w="5400" w:type="dxa"/>
            <w:vAlign w:val="bottom"/>
            <w:tcBorders>
              <w:bottom w:val="single" w:sz="8" w:color="auto"/>
            </w:tcBorders>
          </w:tcPr>
          <w:p>
            <w:pPr>
              <w:jc w:val="right"/>
              <w:ind w:right="2830"/>
              <w:spacing w:after="0"/>
              <w:rPr>
                <w:sz w:val="20"/>
                <w:szCs w:val="20"/>
                <w:color w:val="auto"/>
              </w:rPr>
            </w:pPr>
            <w:r>
              <w:rPr>
                <w:rFonts w:ascii="Times New Roman" w:cs="Times New Roman" w:eastAsia="Times New Roman" w:hAnsi="Times New Roman"/>
                <w:sz w:val="18"/>
                <w:szCs w:val="18"/>
                <w:color w:val="auto"/>
              </w:rPr>
              <w:t>43</w:t>
            </w:r>
          </w:p>
        </w:tc>
        <w:tc>
          <w:tcPr>
            <w:tcW w:w="14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65" w:right="339" w:bottom="1440" w:gutter="0" w:footer="0" w:header="0"/>
        </w:sectPr>
      </w:pPr>
    </w:p>
    <w:bookmarkStart w:id="46" w:name="page47"/>
    <w:bookmarkEnd w:id="46"/>
    <w:p>
      <w:pPr>
        <w:jc w:val="center"/>
        <w:spacing w:after="0"/>
        <w:rPr>
          <w:sz w:val="20"/>
          <w:szCs w:val="20"/>
          <w:color w:val="auto"/>
        </w:rPr>
      </w:pPr>
      <w:r>
        <w:rPr>
          <w:rFonts w:ascii="Times New Roman" w:cs="Times New Roman" w:eastAsia="Times New Roman" w:hAnsi="Times New Roman"/>
          <w:sz w:val="18"/>
          <w:szCs w:val="18"/>
          <w:b w:val="1"/>
          <w:bCs w:val="1"/>
          <w:color w:val="auto"/>
        </w:rPr>
        <w:t>HANSOL INTICUBE CO.,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31. Expenses by nature</w:t>
            </w:r>
          </w:p>
        </w:tc>
        <w:tc>
          <w:tcPr>
            <w:tcW w:w="8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Expenses classified by nature for the year ended December 31, 2025 are as follows:</w:t>
            </w:r>
          </w:p>
        </w:tc>
        <w:tc>
          <w:tcPr>
            <w:tcW w:w="8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65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87"/>
        </w:trPr>
        <w:tc>
          <w:tcPr>
            <w:tcW w:w="65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tcPr>
          <w:p>
            <w:pPr>
              <w:jc w:val="center"/>
              <w:ind w:right="220"/>
              <w:spacing w:after="0" w:line="188" w:lineRule="exact"/>
              <w:rPr>
                <w:sz w:val="20"/>
                <w:szCs w:val="20"/>
                <w:color w:val="auto"/>
              </w:rPr>
            </w:pPr>
            <w:r>
              <w:rPr>
                <w:rFonts w:ascii="Times New Roman" w:cs="Times New Roman" w:eastAsia="Times New Roman" w:hAnsi="Times New Roman"/>
                <w:sz w:val="18"/>
                <w:szCs w:val="18"/>
                <w:b w:val="1"/>
                <w:bCs w:val="1"/>
                <w:color w:val="auto"/>
              </w:rPr>
              <w:t>Selling and</w:t>
            </w: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16"/>
        </w:trPr>
        <w:tc>
          <w:tcPr>
            <w:tcW w:w="65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administrative</w:t>
            </w: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8"/>
        </w:trPr>
        <w:tc>
          <w:tcPr>
            <w:tcW w:w="65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3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Cost of Sales</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expenses (*)</w:t>
            </w:r>
          </w:p>
        </w:tc>
        <w:tc>
          <w:tcPr>
            <w:tcW w:w="1220" w:type="dxa"/>
            <w:vAlign w:val="bottom"/>
            <w:gridSpan w:val="3"/>
          </w:tcPr>
          <w:p>
            <w:pPr>
              <w:ind w:left="36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65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760" w:type="dxa"/>
            <w:vAlign w:val="bottom"/>
            <w:tcBorders>
              <w:top w:val="single" w:sz="8" w:color="auto"/>
            </w:tcBorders>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 thousands of Korean won)</w:t>
            </w:r>
          </w:p>
        </w:tc>
        <w:tc>
          <w:tcPr>
            <w:tcW w:w="100" w:type="dxa"/>
            <w:vAlign w:val="bottom"/>
            <w:gridSpan w:val="2"/>
          </w:tcPr>
          <w:p>
            <w:pPr>
              <w:spacing w:after="0"/>
              <w:rPr>
                <w:sz w:val="18"/>
                <w:szCs w:val="18"/>
                <w:color w:val="auto"/>
              </w:rPr>
            </w:pPr>
          </w:p>
        </w:tc>
      </w:tr>
      <w:tr>
        <w:trPr>
          <w:trHeight w:val="216"/>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inventories and purchases</w:t>
            </w:r>
          </w:p>
        </w:tc>
        <w:tc>
          <w:tcPr>
            <w:tcW w:w="8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14,242,834</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14,242,834</w:t>
            </w:r>
          </w:p>
        </w:tc>
        <w:tc>
          <w:tcPr>
            <w:tcW w:w="80" w:type="dxa"/>
            <w:vAlign w:val="bottom"/>
            <w:shd w:val="clear" w:color="auto" w:fill="CCEEFF"/>
          </w:tcPr>
          <w:p>
            <w:pPr>
              <w:spacing w:after="0"/>
              <w:rPr>
                <w:sz w:val="18"/>
                <w:szCs w:val="18"/>
                <w:color w:val="auto"/>
              </w:rPr>
            </w:pPr>
          </w:p>
        </w:tc>
      </w:tr>
      <w:tr>
        <w:trPr>
          <w:trHeight w:val="216"/>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Employee benefits</w:t>
            </w:r>
          </w:p>
        </w:tc>
        <w:tc>
          <w:tcPr>
            <w:tcW w:w="8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9,180,670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9,317,868</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18,498,538</w:t>
            </w:r>
          </w:p>
        </w:tc>
        <w:tc>
          <w:tcPr>
            <w:tcW w:w="80" w:type="dxa"/>
            <w:vAlign w:val="bottom"/>
          </w:tcPr>
          <w:p>
            <w:pPr>
              <w:spacing w:after="0"/>
              <w:rPr>
                <w:sz w:val="18"/>
                <w:szCs w:val="18"/>
                <w:color w:val="auto"/>
              </w:rPr>
            </w:pPr>
          </w:p>
        </w:tc>
      </w:tr>
      <w:tr>
        <w:trPr>
          <w:trHeight w:val="216"/>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 welfare expenses</w:t>
            </w:r>
          </w:p>
        </w:tc>
        <w:tc>
          <w:tcPr>
            <w:tcW w:w="8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1,198,120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1,256,004</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2,454,124</w:t>
            </w:r>
          </w:p>
        </w:tc>
        <w:tc>
          <w:tcPr>
            <w:tcW w:w="80" w:type="dxa"/>
            <w:vAlign w:val="bottom"/>
            <w:shd w:val="clear" w:color="auto" w:fill="CCEEFF"/>
          </w:tcPr>
          <w:p>
            <w:pPr>
              <w:spacing w:after="0"/>
              <w:rPr>
                <w:sz w:val="18"/>
                <w:szCs w:val="18"/>
                <w:color w:val="auto"/>
              </w:rPr>
            </w:pPr>
          </w:p>
        </w:tc>
      </w:tr>
      <w:tr>
        <w:trPr>
          <w:trHeight w:val="216"/>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8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770,556</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544,465</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1,315,021</w:t>
            </w:r>
          </w:p>
        </w:tc>
        <w:tc>
          <w:tcPr>
            <w:tcW w:w="80" w:type="dxa"/>
            <w:vAlign w:val="bottom"/>
          </w:tcPr>
          <w:p>
            <w:pPr>
              <w:spacing w:after="0"/>
              <w:rPr>
                <w:sz w:val="18"/>
                <w:szCs w:val="18"/>
                <w:color w:val="auto"/>
              </w:rPr>
            </w:pPr>
          </w:p>
        </w:tc>
      </w:tr>
      <w:tr>
        <w:trPr>
          <w:trHeight w:val="216"/>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8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14,656</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231,757</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246,413</w:t>
            </w:r>
          </w:p>
        </w:tc>
        <w:tc>
          <w:tcPr>
            <w:tcW w:w="80" w:type="dxa"/>
            <w:vAlign w:val="bottom"/>
            <w:shd w:val="clear" w:color="auto" w:fill="CCEEFF"/>
          </w:tcPr>
          <w:p>
            <w:pPr>
              <w:spacing w:after="0"/>
              <w:rPr>
                <w:sz w:val="18"/>
                <w:szCs w:val="18"/>
                <w:color w:val="auto"/>
              </w:rPr>
            </w:pPr>
          </w:p>
        </w:tc>
      </w:tr>
      <w:tr>
        <w:trPr>
          <w:trHeight w:val="216"/>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Advertising expenses</w:t>
            </w:r>
          </w:p>
        </w:tc>
        <w:tc>
          <w:tcPr>
            <w:tcW w:w="8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304,126</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304,126</w:t>
            </w:r>
          </w:p>
        </w:tc>
        <w:tc>
          <w:tcPr>
            <w:tcW w:w="80" w:type="dxa"/>
            <w:vAlign w:val="bottom"/>
          </w:tcPr>
          <w:p>
            <w:pPr>
              <w:spacing w:after="0"/>
              <w:rPr>
                <w:sz w:val="18"/>
                <w:szCs w:val="18"/>
                <w:color w:val="auto"/>
              </w:rPr>
            </w:pPr>
          </w:p>
        </w:tc>
      </w:tr>
      <w:tr>
        <w:trPr>
          <w:trHeight w:val="216"/>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Outsourcing expenses</w:t>
            </w:r>
          </w:p>
        </w:tc>
        <w:tc>
          <w:tcPr>
            <w:tcW w:w="8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16,076,231</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596,218</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16,672,449</w:t>
            </w:r>
          </w:p>
        </w:tc>
        <w:tc>
          <w:tcPr>
            <w:tcW w:w="80" w:type="dxa"/>
            <w:vAlign w:val="bottom"/>
            <w:shd w:val="clear" w:color="auto" w:fill="CCEEFF"/>
          </w:tcPr>
          <w:p>
            <w:pPr>
              <w:spacing w:after="0"/>
              <w:rPr>
                <w:sz w:val="18"/>
                <w:szCs w:val="18"/>
                <w:color w:val="auto"/>
              </w:rPr>
            </w:pPr>
          </w:p>
        </w:tc>
      </w:tr>
      <w:tr>
        <w:trPr>
          <w:trHeight w:val="216"/>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Commission expenses</w:t>
            </w:r>
          </w:p>
        </w:tc>
        <w:tc>
          <w:tcPr>
            <w:tcW w:w="8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6,985,658</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864,423</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7,850,081</w:t>
            </w:r>
          </w:p>
        </w:tc>
        <w:tc>
          <w:tcPr>
            <w:tcW w:w="80" w:type="dxa"/>
            <w:vAlign w:val="bottom"/>
          </w:tcPr>
          <w:p>
            <w:pPr>
              <w:spacing w:after="0"/>
              <w:rPr>
                <w:sz w:val="18"/>
                <w:szCs w:val="18"/>
                <w:color w:val="auto"/>
              </w:rPr>
            </w:pPr>
          </w:p>
        </w:tc>
      </w:tr>
      <w:tr>
        <w:trPr>
          <w:trHeight w:val="216"/>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Others</w:t>
            </w:r>
          </w:p>
        </w:tc>
        <w:tc>
          <w:tcPr>
            <w:tcW w:w="8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812,371</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1,375,303</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2,187,674</w:t>
            </w:r>
          </w:p>
        </w:tc>
        <w:tc>
          <w:tcPr>
            <w:tcW w:w="80" w:type="dxa"/>
            <w:vAlign w:val="bottom"/>
            <w:shd w:val="clear" w:color="auto" w:fill="CCEEFF"/>
          </w:tcPr>
          <w:p>
            <w:pPr>
              <w:spacing w:after="0"/>
              <w:rPr>
                <w:sz w:val="18"/>
                <w:szCs w:val="18"/>
                <w:color w:val="auto"/>
              </w:rPr>
            </w:pPr>
          </w:p>
        </w:tc>
      </w:tr>
      <w:tr>
        <w:trPr>
          <w:trHeight w:val="210"/>
        </w:trPr>
        <w:tc>
          <w:tcPr>
            <w:tcW w:w="6560" w:type="dxa"/>
            <w:vAlign w:val="bottom"/>
          </w:tcPr>
          <w:p>
            <w:pPr>
              <w:ind w:left="3380"/>
              <w:spacing w:after="0"/>
              <w:rPr>
                <w:sz w:val="20"/>
                <w:szCs w:val="20"/>
                <w:color w:val="auto"/>
              </w:rPr>
            </w:pPr>
            <w:r>
              <w:rPr>
                <w:rFonts w:ascii="Times New Roman" w:cs="Times New Roman" w:eastAsia="Times New Roman" w:hAnsi="Times New Roman"/>
                <w:sz w:val="18"/>
                <w:szCs w:val="18"/>
                <w:color w:val="auto"/>
              </w:rPr>
              <w:t>Total</w:t>
            </w:r>
          </w:p>
        </w:tc>
        <w:tc>
          <w:tcPr>
            <w:tcW w:w="820" w:type="dxa"/>
            <w:vAlign w:val="bottom"/>
          </w:tcPr>
          <w:p>
            <w:pPr>
              <w:ind w:left="54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49,281,096</w:t>
            </w:r>
          </w:p>
        </w:tc>
        <w:tc>
          <w:tcPr>
            <w:tcW w:w="220" w:type="dxa"/>
            <w:vAlign w:val="bottom"/>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14,490,164</w:t>
            </w:r>
          </w:p>
        </w:tc>
        <w:tc>
          <w:tcPr>
            <w:tcW w:w="220" w:type="dxa"/>
            <w:vAlign w:val="bottom"/>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63,771,260</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65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32. Share-based Payments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Group operates share-based payment arrangements for its executives and employees. Share options granted to employees are settled in shares of the Group upon exercise. No consideration is paid or payable by employees when share options are granted. The share options do not carry rights to dividends or voting rights and can be exercised during the exercisable period.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Share-based payment arrangements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Details of share-based payment arrangements as of December 31, 2025 are as follows:</w:t>
      </w:r>
    </w:p>
    <w:p>
      <w:pPr>
        <w:spacing w:after="0" w:line="225" w:lineRule="exact"/>
        <w:rPr>
          <w:sz w:val="20"/>
          <w:szCs w:val="20"/>
          <w:color w:val="auto"/>
        </w:rPr>
      </w:pPr>
    </w:p>
    <w:p>
      <w:pPr>
        <w:ind w:left="660" w:hanging="328"/>
        <w:spacing w:after="0"/>
        <w:tabs>
          <w:tab w:leader="none" w:pos="6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Company</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gridSpan w:val="4"/>
          </w:tcPr>
          <w:p>
            <w:pPr>
              <w:jc w:val="right"/>
              <w:ind w:right="10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3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1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1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1580" w:type="dxa"/>
            <w:vAlign w:val="bottom"/>
            <w:gridSpan w:val="2"/>
          </w:tcPr>
          <w:p>
            <w:pPr>
              <w:jc w:val="center"/>
              <w:ind w:right="220"/>
              <w:spacing w:after="0" w:line="118" w:lineRule="exact"/>
              <w:rPr>
                <w:sz w:val="20"/>
                <w:szCs w:val="20"/>
                <w:color w:val="auto"/>
              </w:rPr>
            </w:pPr>
            <w:r>
              <w:rPr>
                <w:rFonts w:ascii="Times New Roman" w:cs="Times New Roman" w:eastAsia="Times New Roman" w:hAnsi="Times New Roman"/>
                <w:sz w:val="13"/>
                <w:szCs w:val="13"/>
                <w:b w:val="1"/>
                <w:bCs w:val="1"/>
                <w:color w:val="auto"/>
              </w:rPr>
              <w:t>Exercisable</w:t>
            </w:r>
          </w:p>
        </w:tc>
        <w:tc>
          <w:tcPr>
            <w:tcW w:w="11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120" w:type="dxa"/>
            <w:vAlign w:val="bottom"/>
            <w:gridSpan w:val="2"/>
          </w:tcPr>
          <w:p>
            <w:pPr>
              <w:jc w:val="center"/>
              <w:ind w:right="200"/>
              <w:spacing w:after="0" w:line="118" w:lineRule="exact"/>
              <w:rPr>
                <w:sz w:val="20"/>
                <w:szCs w:val="20"/>
                <w:color w:val="auto"/>
              </w:rPr>
            </w:pPr>
            <w:r>
              <w:rPr>
                <w:rFonts w:ascii="Times New Roman" w:cs="Times New Roman" w:eastAsia="Times New Roman" w:hAnsi="Times New Roman"/>
                <w:sz w:val="13"/>
                <w:szCs w:val="13"/>
                <w:b w:val="1"/>
                <w:bCs w:val="1"/>
                <w:color w:val="auto"/>
              </w:rPr>
              <w:t>Exercise</w:t>
            </w:r>
          </w:p>
        </w:tc>
        <w:tc>
          <w:tcPr>
            <w:tcW w:w="1100" w:type="dxa"/>
            <w:vAlign w:val="bottom"/>
            <w:gridSpan w:val="2"/>
          </w:tcPr>
          <w:p>
            <w:pPr>
              <w:jc w:val="center"/>
              <w:ind w:right="220"/>
              <w:spacing w:after="0" w:line="118" w:lineRule="exact"/>
              <w:rPr>
                <w:sz w:val="20"/>
                <w:szCs w:val="20"/>
                <w:color w:val="auto"/>
              </w:rPr>
            </w:pPr>
            <w:r>
              <w:rPr>
                <w:rFonts w:ascii="Times New Roman" w:cs="Times New Roman" w:eastAsia="Times New Roman" w:hAnsi="Times New Roman"/>
                <w:sz w:val="13"/>
                <w:szCs w:val="13"/>
                <w:b w:val="1"/>
                <w:bCs w:val="1"/>
                <w:color w:val="auto"/>
              </w:rPr>
              <w:t>Fair Value at</w:t>
            </w:r>
          </w:p>
        </w:tc>
        <w:tc>
          <w:tcPr>
            <w:tcW w:w="13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Valuation</w:t>
            </w:r>
          </w:p>
        </w:tc>
        <w:tc>
          <w:tcPr>
            <w:tcW w:w="220" w:type="dxa"/>
            <w:vAlign w:val="bottom"/>
          </w:tcPr>
          <w:p>
            <w:pPr>
              <w:spacing w:after="0"/>
              <w:rPr>
                <w:sz w:val="10"/>
                <w:szCs w:val="10"/>
                <w:color w:val="auto"/>
              </w:rPr>
            </w:pPr>
          </w:p>
        </w:tc>
        <w:tc>
          <w:tcPr>
            <w:tcW w:w="1440" w:type="dxa"/>
            <w:vAlign w:val="bottom"/>
            <w:gridSpan w:val="2"/>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Settlement</w:t>
            </w:r>
          </w:p>
        </w:tc>
        <w:tc>
          <w:tcPr>
            <w:tcW w:w="0" w:type="dxa"/>
            <w:vAlign w:val="bottom"/>
          </w:tcPr>
          <w:p>
            <w:pPr>
              <w:spacing w:after="0"/>
              <w:rPr>
                <w:sz w:val="1"/>
                <w:szCs w:val="1"/>
                <w:color w:val="auto"/>
              </w:rPr>
            </w:pPr>
          </w:p>
        </w:tc>
      </w:tr>
      <w:tr>
        <w:trPr>
          <w:trHeight w:val="173"/>
        </w:trPr>
        <w:tc>
          <w:tcPr>
            <w:tcW w:w="2160" w:type="dxa"/>
            <w:vAlign w:val="bottom"/>
            <w:gridSpan w:val="2"/>
            <w:vMerge w:val="continue"/>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15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140" w:type="dxa"/>
            <w:vAlign w:val="bottom"/>
            <w:gridSpan w:val="2"/>
            <w:vMerge w:val="continue"/>
          </w:tcPr>
          <w:p>
            <w:pPr>
              <w:spacing w:after="0"/>
              <w:rPr>
                <w:sz w:val="15"/>
                <w:szCs w:val="15"/>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Method</w:t>
            </w:r>
          </w:p>
        </w:tc>
        <w:tc>
          <w:tcPr>
            <w:tcW w:w="220" w:type="dxa"/>
            <w:vAlign w:val="bottom"/>
          </w:tcPr>
          <w:p>
            <w:pPr>
              <w:spacing w:after="0"/>
              <w:rPr>
                <w:sz w:val="15"/>
                <w:szCs w:val="15"/>
                <w:color w:val="auto"/>
              </w:rPr>
            </w:pPr>
          </w:p>
        </w:tc>
        <w:tc>
          <w:tcPr>
            <w:tcW w:w="14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2040" w:type="dxa"/>
            <w:vAlign w:val="bottom"/>
            <w:tcBorders>
              <w:top w:val="single" w:sz="8" w:color="auto"/>
            </w:tcBorders>
            <w:shd w:val="clear" w:color="auto" w:fill="CCEEFF"/>
          </w:tcPr>
          <w:p>
            <w:pPr>
              <w:spacing w:after="0" w:line="119" w:lineRule="exact"/>
              <w:rPr>
                <w:sz w:val="20"/>
                <w:szCs w:val="20"/>
                <w:color w:val="auto"/>
              </w:rPr>
            </w:pPr>
            <w:r>
              <w:rPr>
                <w:rFonts w:ascii="Times New Roman" w:cs="Times New Roman" w:eastAsia="Times New Roman" w:hAnsi="Times New Roman"/>
                <w:sz w:val="13"/>
                <w:szCs w:val="13"/>
                <w:color w:val="auto"/>
              </w:rPr>
              <w:t>Share options granted to key</w:t>
            </w:r>
          </w:p>
        </w:tc>
        <w:tc>
          <w:tcPr>
            <w:tcW w:w="120" w:type="dxa"/>
            <w:vAlign w:val="bottom"/>
            <w:tcBorders>
              <w:top w:val="single" w:sz="8" w:color="CCEEFF"/>
            </w:tcBorders>
            <w:shd w:val="clear" w:color="auto" w:fill="CCEEFF"/>
          </w:tcPr>
          <w:p>
            <w:pPr>
              <w:spacing w:after="0"/>
              <w:rPr>
                <w:sz w:val="10"/>
                <w:szCs w:val="10"/>
                <w:color w:val="auto"/>
              </w:rPr>
            </w:pPr>
          </w:p>
        </w:tc>
        <w:tc>
          <w:tcPr>
            <w:tcW w:w="900" w:type="dxa"/>
            <w:vAlign w:val="bottom"/>
            <w:tcBorders>
              <w:top w:val="single" w:sz="8" w:color="auto"/>
            </w:tcBorders>
            <w:shd w:val="clear" w:color="auto" w:fill="CCEEFF"/>
          </w:tcPr>
          <w:p>
            <w:pPr>
              <w:spacing w:after="0"/>
              <w:rPr>
                <w:sz w:val="10"/>
                <w:szCs w:val="10"/>
                <w:color w:val="auto"/>
              </w:rPr>
            </w:pPr>
          </w:p>
        </w:tc>
        <w:tc>
          <w:tcPr>
            <w:tcW w:w="240" w:type="dxa"/>
            <w:vAlign w:val="bottom"/>
            <w:tcBorders>
              <w:top w:val="single" w:sz="8" w:color="CCEEFF"/>
            </w:tcBorders>
            <w:shd w:val="clear" w:color="auto" w:fill="CCEEFF"/>
          </w:tcPr>
          <w:p>
            <w:pPr>
              <w:spacing w:after="0"/>
              <w:rPr>
                <w:sz w:val="10"/>
                <w:szCs w:val="10"/>
                <w:color w:val="auto"/>
              </w:rPr>
            </w:pPr>
          </w:p>
        </w:tc>
        <w:tc>
          <w:tcPr>
            <w:tcW w:w="1360" w:type="dxa"/>
            <w:vAlign w:val="bottom"/>
            <w:tcBorders>
              <w:top w:val="single" w:sz="8" w:color="auto"/>
            </w:tcBorders>
            <w:vMerge w:val="restart"/>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2024.03.24 ~</w:t>
            </w:r>
          </w:p>
        </w:tc>
        <w:tc>
          <w:tcPr>
            <w:tcW w:w="220" w:type="dxa"/>
            <w:vAlign w:val="bottom"/>
            <w:tcBorders>
              <w:top w:val="single" w:sz="8" w:color="CCEEFF"/>
            </w:tcBorders>
            <w:shd w:val="clear" w:color="auto" w:fill="CCEEFF"/>
          </w:tcPr>
          <w:p>
            <w:pPr>
              <w:spacing w:after="0"/>
              <w:rPr>
                <w:sz w:val="10"/>
                <w:szCs w:val="10"/>
                <w:color w:val="auto"/>
              </w:rPr>
            </w:pPr>
          </w:p>
        </w:tc>
        <w:tc>
          <w:tcPr>
            <w:tcW w:w="92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90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88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1340" w:type="dxa"/>
            <w:vAlign w:val="bottom"/>
            <w:tcBorders>
              <w:top w:val="single" w:sz="8" w:color="auto"/>
            </w:tcBorders>
            <w:shd w:val="clear" w:color="auto" w:fill="CCEEFF"/>
          </w:tcPr>
          <w:p>
            <w:pPr>
              <w:spacing w:after="0" w:line="119" w:lineRule="exact"/>
              <w:rPr>
                <w:sz w:val="20"/>
                <w:szCs w:val="20"/>
                <w:color w:val="auto"/>
              </w:rPr>
            </w:pPr>
            <w:r>
              <w:rPr>
                <w:rFonts w:ascii="Times New Roman" w:cs="Times New Roman" w:eastAsia="Times New Roman" w:hAnsi="Times New Roman"/>
                <w:sz w:val="13"/>
                <w:szCs w:val="13"/>
                <w:color w:val="auto"/>
              </w:rPr>
              <w:t>Binomial model</w:t>
            </w:r>
          </w:p>
        </w:tc>
        <w:tc>
          <w:tcPr>
            <w:tcW w:w="220" w:type="dxa"/>
            <w:vAlign w:val="bottom"/>
            <w:tcBorders>
              <w:top w:val="single" w:sz="8" w:color="CCEEFF"/>
            </w:tcBorders>
            <w:shd w:val="clear" w:color="auto" w:fill="CCEEFF"/>
          </w:tcPr>
          <w:p>
            <w:pPr>
              <w:spacing w:after="0"/>
              <w:rPr>
                <w:sz w:val="10"/>
                <w:szCs w:val="10"/>
                <w:color w:val="auto"/>
              </w:rPr>
            </w:pPr>
          </w:p>
        </w:tc>
        <w:tc>
          <w:tcPr>
            <w:tcW w:w="1340" w:type="dxa"/>
            <w:vAlign w:val="bottom"/>
            <w:tcBorders>
              <w:top w:val="single" w:sz="8" w:color="auto"/>
            </w:tcBorders>
            <w:shd w:val="clear" w:color="auto" w:fill="CCEEFF"/>
          </w:tcPr>
          <w:p>
            <w:pPr>
              <w:spacing w:after="0" w:line="119" w:lineRule="exact"/>
              <w:rPr>
                <w:sz w:val="20"/>
                <w:szCs w:val="20"/>
                <w:color w:val="auto"/>
              </w:rPr>
            </w:pPr>
            <w:r>
              <w:rPr>
                <w:rFonts w:ascii="Times New Roman" w:cs="Times New Roman" w:eastAsia="Times New Roman" w:hAnsi="Times New Roman"/>
                <w:sz w:val="13"/>
                <w:szCs w:val="13"/>
                <w:color w:val="auto"/>
              </w:rPr>
              <w:t>Equity-settled</w:t>
            </w:r>
          </w:p>
        </w:tc>
        <w:tc>
          <w:tcPr>
            <w:tcW w:w="10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160" w:type="dxa"/>
            <w:vAlign w:val="bottom"/>
            <w:gridSpan w:val="2"/>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management - 18th grant (*)</w:t>
            </w:r>
          </w:p>
        </w:tc>
        <w:tc>
          <w:tcPr>
            <w:tcW w:w="90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2021.03.24</w:t>
            </w:r>
          </w:p>
        </w:tc>
        <w:tc>
          <w:tcPr>
            <w:tcW w:w="240" w:type="dxa"/>
            <w:vAlign w:val="bottom"/>
            <w:shd w:val="clear" w:color="auto" w:fill="CCEEFF"/>
          </w:tcPr>
          <w:p>
            <w:pPr>
              <w:spacing w:after="0"/>
              <w:rPr>
                <w:sz w:val="12"/>
                <w:szCs w:val="12"/>
                <w:color w:val="auto"/>
              </w:rPr>
            </w:pPr>
          </w:p>
        </w:tc>
        <w:tc>
          <w:tcPr>
            <w:tcW w:w="1360" w:type="dxa"/>
            <w:vAlign w:val="bottom"/>
            <w:vMerge w:val="continue"/>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85,100</w:t>
            </w:r>
          </w:p>
        </w:tc>
        <w:tc>
          <w:tcPr>
            <w:tcW w:w="11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3,552</w:t>
            </w:r>
          </w:p>
        </w:tc>
        <w:tc>
          <w:tcPr>
            <w:tcW w:w="11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548</w:t>
            </w:r>
          </w:p>
        </w:tc>
        <w:tc>
          <w:tcPr>
            <w:tcW w:w="13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LSMC model (Least-</w:t>
            </w:r>
          </w:p>
        </w:tc>
        <w:tc>
          <w:tcPr>
            <w:tcW w:w="22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360" w:type="dxa"/>
            <w:vAlign w:val="bottom"/>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rPr>
              <w:t>2026.03.23</w:t>
            </w:r>
          </w:p>
        </w:tc>
        <w:tc>
          <w:tcPr>
            <w:tcW w:w="220" w:type="dxa"/>
            <w:vAlign w:val="bottom"/>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1120" w:type="dxa"/>
            <w:vAlign w:val="bottom"/>
            <w:gridSpan w:val="2"/>
            <w:vMerge w:val="continue"/>
            <w:shd w:val="clear" w:color="auto" w:fill="CCEEFF"/>
          </w:tcPr>
          <w:p>
            <w:pPr>
              <w:spacing w:after="0"/>
              <w:rPr>
                <w:sz w:val="14"/>
                <w:szCs w:val="14"/>
                <w:color w:val="auto"/>
              </w:rPr>
            </w:pPr>
          </w:p>
        </w:tc>
        <w:tc>
          <w:tcPr>
            <w:tcW w:w="1100" w:type="dxa"/>
            <w:vAlign w:val="bottom"/>
            <w:gridSpan w:val="2"/>
            <w:vMerge w:val="continue"/>
            <w:shd w:val="clear" w:color="auto" w:fill="CCEEFF"/>
          </w:tcPr>
          <w:p>
            <w:pPr>
              <w:spacing w:after="0"/>
              <w:rPr>
                <w:sz w:val="14"/>
                <w:szCs w:val="14"/>
                <w:color w:val="auto"/>
              </w:rPr>
            </w:pPr>
          </w:p>
        </w:tc>
        <w:tc>
          <w:tcPr>
            <w:tcW w:w="1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Squares Monte Carlo)</w:t>
            </w:r>
          </w:p>
        </w:tc>
        <w:tc>
          <w:tcPr>
            <w:tcW w:w="22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5" w:lineRule="exact"/>
        <w:rPr>
          <w:sz w:val="20"/>
          <w:szCs w:val="20"/>
          <w:color w:val="auto"/>
        </w:rPr>
      </w:pPr>
    </w:p>
    <w:p>
      <w:pPr>
        <w:jc w:val="both"/>
        <w:ind w:left="340" w:hanging="332"/>
        <w:spacing w:after="0" w:line="266" w:lineRule="auto"/>
        <w:tabs>
          <w:tab w:leader="none" w:pos="3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options become exercisable if the closing price for each of the 10 trading days immediately preceding the commencement date of the exercisable period is equal to or exceeds 130% of the exercise price, or if the closing price for each of 10 consecutive trading days during the exercisable period is equal to or exceeds 130% of the exercise price.</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7" w:name="page48"/>
    <w:bookmarkEnd w:id="47"/>
    <w:p>
      <w:pPr>
        <w:jc w:val="center"/>
        <w:spacing w:after="0"/>
        <w:rPr>
          <w:sz w:val="20"/>
          <w:szCs w:val="20"/>
          <w:color w:val="auto"/>
        </w:rPr>
      </w:pPr>
      <w:r>
        <w:rPr>
          <w:rFonts w:ascii="Times New Roman" w:cs="Times New Roman" w:eastAsia="Times New Roman" w:hAnsi="Times New Roman"/>
          <w:sz w:val="18"/>
          <w:szCs w:val="18"/>
          <w:b w:val="1"/>
          <w:bCs w:val="1"/>
          <w:color w:val="auto"/>
        </w:rPr>
        <w:t>HANSOL INTICUBE CO.,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7" w:lineRule="exact"/>
        <w:rPr>
          <w:sz w:val="20"/>
          <w:szCs w:val="20"/>
          <w:color w:val="auto"/>
        </w:rPr>
      </w:pPr>
    </w:p>
    <w:p>
      <w:pPr>
        <w:ind w:left="340"/>
        <w:spacing w:after="0"/>
        <w:tabs>
          <w:tab w:leader="none" w:pos="640" w:val="left"/>
        </w:tabs>
        <w:rPr>
          <w:sz w:val="20"/>
          <w:szCs w:val="20"/>
          <w:color w:val="auto"/>
        </w:rPr>
      </w:pPr>
      <w:r>
        <w:rPr>
          <w:rFonts w:ascii="Times New Roman" w:cs="Times New Roman" w:eastAsia="Times New Roman" w:hAnsi="Times New Roman"/>
          <w:sz w:val="18"/>
          <w:szCs w:val="18"/>
          <w:color w:val="auto"/>
        </w:rPr>
        <w:t>ii.</w:t>
      </w:r>
      <w:r>
        <w:rPr>
          <w:sz w:val="20"/>
          <w:szCs w:val="20"/>
          <w:color w:val="auto"/>
        </w:rPr>
        <w:tab/>
      </w:r>
      <w:r>
        <w:rPr>
          <w:rFonts w:ascii="Times New Roman" w:cs="Times New Roman" w:eastAsia="Times New Roman" w:hAnsi="Times New Roman"/>
          <w:sz w:val="17"/>
          <w:szCs w:val="17"/>
          <w:color w:val="auto"/>
        </w:rPr>
        <w:t>Subsidiary</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gridSpan w:val="4"/>
          </w:tcPr>
          <w:p>
            <w:pPr>
              <w:jc w:val="right"/>
              <w:ind w:right="10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3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1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1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1580" w:type="dxa"/>
            <w:vAlign w:val="bottom"/>
            <w:gridSpan w:val="2"/>
          </w:tcPr>
          <w:p>
            <w:pPr>
              <w:jc w:val="center"/>
              <w:ind w:right="220"/>
              <w:spacing w:after="0" w:line="118" w:lineRule="exact"/>
              <w:rPr>
                <w:sz w:val="20"/>
                <w:szCs w:val="20"/>
                <w:color w:val="auto"/>
              </w:rPr>
            </w:pPr>
            <w:r>
              <w:rPr>
                <w:rFonts w:ascii="Times New Roman" w:cs="Times New Roman" w:eastAsia="Times New Roman" w:hAnsi="Times New Roman"/>
                <w:sz w:val="13"/>
                <w:szCs w:val="13"/>
                <w:b w:val="1"/>
                <w:bCs w:val="1"/>
                <w:color w:val="auto"/>
              </w:rPr>
              <w:t>Exercisable</w:t>
            </w:r>
          </w:p>
        </w:tc>
        <w:tc>
          <w:tcPr>
            <w:tcW w:w="11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120" w:type="dxa"/>
            <w:vAlign w:val="bottom"/>
            <w:gridSpan w:val="2"/>
          </w:tcPr>
          <w:p>
            <w:pPr>
              <w:jc w:val="center"/>
              <w:ind w:right="200"/>
              <w:spacing w:after="0" w:line="118" w:lineRule="exact"/>
              <w:rPr>
                <w:sz w:val="20"/>
                <w:szCs w:val="20"/>
                <w:color w:val="auto"/>
              </w:rPr>
            </w:pPr>
            <w:r>
              <w:rPr>
                <w:rFonts w:ascii="Times New Roman" w:cs="Times New Roman" w:eastAsia="Times New Roman" w:hAnsi="Times New Roman"/>
                <w:sz w:val="13"/>
                <w:szCs w:val="13"/>
                <w:b w:val="1"/>
                <w:bCs w:val="1"/>
                <w:color w:val="auto"/>
              </w:rPr>
              <w:t>Exercise</w:t>
            </w:r>
          </w:p>
        </w:tc>
        <w:tc>
          <w:tcPr>
            <w:tcW w:w="1100" w:type="dxa"/>
            <w:vAlign w:val="bottom"/>
            <w:gridSpan w:val="2"/>
          </w:tcPr>
          <w:p>
            <w:pPr>
              <w:jc w:val="center"/>
              <w:ind w:right="220"/>
              <w:spacing w:after="0" w:line="118" w:lineRule="exact"/>
              <w:rPr>
                <w:sz w:val="20"/>
                <w:szCs w:val="20"/>
                <w:color w:val="auto"/>
              </w:rPr>
            </w:pPr>
            <w:r>
              <w:rPr>
                <w:rFonts w:ascii="Times New Roman" w:cs="Times New Roman" w:eastAsia="Times New Roman" w:hAnsi="Times New Roman"/>
                <w:sz w:val="13"/>
                <w:szCs w:val="13"/>
                <w:b w:val="1"/>
                <w:bCs w:val="1"/>
                <w:color w:val="auto"/>
              </w:rPr>
              <w:t>Fair Value at</w:t>
            </w:r>
          </w:p>
        </w:tc>
        <w:tc>
          <w:tcPr>
            <w:tcW w:w="13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Valuation</w:t>
            </w:r>
          </w:p>
        </w:tc>
        <w:tc>
          <w:tcPr>
            <w:tcW w:w="220" w:type="dxa"/>
            <w:vAlign w:val="bottom"/>
          </w:tcPr>
          <w:p>
            <w:pPr>
              <w:spacing w:after="0"/>
              <w:rPr>
                <w:sz w:val="10"/>
                <w:szCs w:val="10"/>
                <w:color w:val="auto"/>
              </w:rPr>
            </w:pPr>
          </w:p>
        </w:tc>
        <w:tc>
          <w:tcPr>
            <w:tcW w:w="1440" w:type="dxa"/>
            <w:vAlign w:val="bottom"/>
            <w:gridSpan w:val="2"/>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Settlement</w:t>
            </w:r>
          </w:p>
        </w:tc>
        <w:tc>
          <w:tcPr>
            <w:tcW w:w="0" w:type="dxa"/>
            <w:vAlign w:val="bottom"/>
          </w:tcPr>
          <w:p>
            <w:pPr>
              <w:spacing w:after="0"/>
              <w:rPr>
                <w:sz w:val="1"/>
                <w:szCs w:val="1"/>
                <w:color w:val="auto"/>
              </w:rPr>
            </w:pPr>
          </w:p>
        </w:tc>
      </w:tr>
      <w:tr>
        <w:trPr>
          <w:trHeight w:val="173"/>
        </w:trPr>
        <w:tc>
          <w:tcPr>
            <w:tcW w:w="2160" w:type="dxa"/>
            <w:vAlign w:val="bottom"/>
            <w:gridSpan w:val="2"/>
            <w:vMerge w:val="continue"/>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15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140" w:type="dxa"/>
            <w:vAlign w:val="bottom"/>
            <w:gridSpan w:val="2"/>
            <w:vMerge w:val="continue"/>
          </w:tcPr>
          <w:p>
            <w:pPr>
              <w:spacing w:after="0"/>
              <w:rPr>
                <w:sz w:val="15"/>
                <w:szCs w:val="15"/>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Method</w:t>
            </w:r>
          </w:p>
        </w:tc>
        <w:tc>
          <w:tcPr>
            <w:tcW w:w="220" w:type="dxa"/>
            <w:vAlign w:val="bottom"/>
          </w:tcPr>
          <w:p>
            <w:pPr>
              <w:spacing w:after="0"/>
              <w:rPr>
                <w:sz w:val="15"/>
                <w:szCs w:val="15"/>
                <w:color w:val="auto"/>
              </w:rPr>
            </w:pPr>
          </w:p>
        </w:tc>
        <w:tc>
          <w:tcPr>
            <w:tcW w:w="14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2040" w:type="dxa"/>
            <w:vAlign w:val="bottom"/>
            <w:tcBorders>
              <w:top w:val="single" w:sz="8" w:color="auto"/>
            </w:tcBorders>
            <w:shd w:val="clear" w:color="auto" w:fill="CCEEFF"/>
          </w:tcPr>
          <w:p>
            <w:pPr>
              <w:spacing w:after="0" w:line="119" w:lineRule="exact"/>
              <w:rPr>
                <w:sz w:val="20"/>
                <w:szCs w:val="20"/>
                <w:color w:val="auto"/>
              </w:rPr>
            </w:pPr>
            <w:r>
              <w:rPr>
                <w:rFonts w:ascii="Times New Roman" w:cs="Times New Roman" w:eastAsia="Times New Roman" w:hAnsi="Times New Roman"/>
                <w:sz w:val="13"/>
                <w:szCs w:val="13"/>
                <w:color w:val="auto"/>
              </w:rPr>
              <w:t>Share options granted to</w:t>
            </w:r>
          </w:p>
        </w:tc>
        <w:tc>
          <w:tcPr>
            <w:tcW w:w="120" w:type="dxa"/>
            <w:vAlign w:val="bottom"/>
            <w:tcBorders>
              <w:top w:val="single" w:sz="8" w:color="CCEEFF"/>
            </w:tcBorders>
            <w:shd w:val="clear" w:color="auto" w:fill="CCEEFF"/>
          </w:tcPr>
          <w:p>
            <w:pPr>
              <w:spacing w:after="0"/>
              <w:rPr>
                <w:sz w:val="10"/>
                <w:szCs w:val="10"/>
                <w:color w:val="auto"/>
              </w:rPr>
            </w:pPr>
          </w:p>
        </w:tc>
        <w:tc>
          <w:tcPr>
            <w:tcW w:w="900" w:type="dxa"/>
            <w:vAlign w:val="bottom"/>
            <w:tcBorders>
              <w:top w:val="single" w:sz="8" w:color="auto"/>
            </w:tcBorders>
            <w:shd w:val="clear" w:color="auto" w:fill="CCEEFF"/>
          </w:tcPr>
          <w:p>
            <w:pPr>
              <w:spacing w:after="0"/>
              <w:rPr>
                <w:sz w:val="10"/>
                <w:szCs w:val="10"/>
                <w:color w:val="auto"/>
              </w:rPr>
            </w:pPr>
          </w:p>
        </w:tc>
        <w:tc>
          <w:tcPr>
            <w:tcW w:w="240" w:type="dxa"/>
            <w:vAlign w:val="bottom"/>
            <w:tcBorders>
              <w:top w:val="single" w:sz="8" w:color="CCEEFF"/>
            </w:tcBorders>
            <w:shd w:val="clear" w:color="auto" w:fill="CCEEFF"/>
          </w:tcPr>
          <w:p>
            <w:pPr>
              <w:spacing w:after="0"/>
              <w:rPr>
                <w:sz w:val="10"/>
                <w:szCs w:val="10"/>
                <w:color w:val="auto"/>
              </w:rPr>
            </w:pPr>
          </w:p>
        </w:tc>
        <w:tc>
          <w:tcPr>
            <w:tcW w:w="1360" w:type="dxa"/>
            <w:vAlign w:val="bottom"/>
            <w:tcBorders>
              <w:top w:val="single" w:sz="8" w:color="auto"/>
            </w:tcBorders>
            <w:vMerge w:val="restart"/>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2024.03.22 ~</w:t>
            </w:r>
          </w:p>
        </w:tc>
        <w:tc>
          <w:tcPr>
            <w:tcW w:w="220" w:type="dxa"/>
            <w:vAlign w:val="bottom"/>
            <w:tcBorders>
              <w:top w:val="single" w:sz="8" w:color="CCEEFF"/>
            </w:tcBorders>
            <w:shd w:val="clear" w:color="auto" w:fill="CCEEFF"/>
          </w:tcPr>
          <w:p>
            <w:pPr>
              <w:spacing w:after="0"/>
              <w:rPr>
                <w:sz w:val="10"/>
                <w:szCs w:val="10"/>
                <w:color w:val="auto"/>
              </w:rPr>
            </w:pPr>
          </w:p>
        </w:tc>
        <w:tc>
          <w:tcPr>
            <w:tcW w:w="92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90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88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1340" w:type="dxa"/>
            <w:vAlign w:val="bottom"/>
            <w:tcBorders>
              <w:top w:val="single" w:sz="8" w:color="auto"/>
            </w:tcBorders>
            <w:shd w:val="clear" w:color="auto" w:fill="CCEEFF"/>
          </w:tcPr>
          <w:p>
            <w:pPr>
              <w:spacing w:after="0" w:line="119" w:lineRule="exact"/>
              <w:rPr>
                <w:sz w:val="20"/>
                <w:szCs w:val="20"/>
                <w:color w:val="auto"/>
              </w:rPr>
            </w:pPr>
            <w:r>
              <w:rPr>
                <w:rFonts w:ascii="Times New Roman" w:cs="Times New Roman" w:eastAsia="Times New Roman" w:hAnsi="Times New Roman"/>
                <w:sz w:val="13"/>
                <w:szCs w:val="13"/>
                <w:color w:val="auto"/>
              </w:rPr>
              <w:t>Binomial model</w:t>
            </w:r>
          </w:p>
        </w:tc>
        <w:tc>
          <w:tcPr>
            <w:tcW w:w="220" w:type="dxa"/>
            <w:vAlign w:val="bottom"/>
            <w:tcBorders>
              <w:top w:val="single" w:sz="8" w:color="CCEEFF"/>
            </w:tcBorders>
            <w:shd w:val="clear" w:color="auto" w:fill="CCEEFF"/>
          </w:tcPr>
          <w:p>
            <w:pPr>
              <w:spacing w:after="0"/>
              <w:rPr>
                <w:sz w:val="10"/>
                <w:szCs w:val="10"/>
                <w:color w:val="auto"/>
              </w:rPr>
            </w:pPr>
          </w:p>
        </w:tc>
        <w:tc>
          <w:tcPr>
            <w:tcW w:w="1340" w:type="dxa"/>
            <w:vAlign w:val="bottom"/>
            <w:tcBorders>
              <w:top w:val="single" w:sz="8" w:color="auto"/>
            </w:tcBorders>
            <w:shd w:val="clear" w:color="auto" w:fill="CCEEFF"/>
          </w:tcPr>
          <w:p>
            <w:pPr>
              <w:spacing w:after="0" w:line="119" w:lineRule="exact"/>
              <w:rPr>
                <w:sz w:val="20"/>
                <w:szCs w:val="20"/>
                <w:color w:val="auto"/>
              </w:rPr>
            </w:pPr>
            <w:r>
              <w:rPr>
                <w:rFonts w:ascii="Times New Roman" w:cs="Times New Roman" w:eastAsia="Times New Roman" w:hAnsi="Times New Roman"/>
                <w:sz w:val="13"/>
                <w:szCs w:val="13"/>
                <w:color w:val="auto"/>
              </w:rPr>
              <w:t>Equity-settled</w:t>
            </w:r>
          </w:p>
        </w:tc>
        <w:tc>
          <w:tcPr>
            <w:tcW w:w="10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160" w:type="dxa"/>
            <w:vAlign w:val="bottom"/>
            <w:gridSpan w:val="2"/>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executives and employees - 1st</w:t>
            </w:r>
          </w:p>
        </w:tc>
        <w:tc>
          <w:tcPr>
            <w:tcW w:w="90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2022.03.22</w:t>
            </w:r>
          </w:p>
        </w:tc>
        <w:tc>
          <w:tcPr>
            <w:tcW w:w="240" w:type="dxa"/>
            <w:vAlign w:val="bottom"/>
            <w:shd w:val="clear" w:color="auto" w:fill="CCEEFF"/>
          </w:tcPr>
          <w:p>
            <w:pPr>
              <w:spacing w:after="0"/>
              <w:rPr>
                <w:sz w:val="12"/>
                <w:szCs w:val="12"/>
                <w:color w:val="auto"/>
              </w:rPr>
            </w:pPr>
          </w:p>
        </w:tc>
        <w:tc>
          <w:tcPr>
            <w:tcW w:w="1360" w:type="dxa"/>
            <w:vAlign w:val="bottom"/>
            <w:vMerge w:val="continue"/>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210</w:t>
            </w:r>
          </w:p>
        </w:tc>
        <w:tc>
          <w:tcPr>
            <w:tcW w:w="11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710,000</w:t>
            </w:r>
          </w:p>
        </w:tc>
        <w:tc>
          <w:tcPr>
            <w:tcW w:w="11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372,192</w:t>
            </w:r>
          </w:p>
        </w:tc>
        <w:tc>
          <w:tcPr>
            <w:tcW w:w="13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1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grant</w:t>
            </w:r>
          </w:p>
        </w:tc>
        <w:tc>
          <w:tcPr>
            <w:tcW w:w="900" w:type="dxa"/>
            <w:vAlign w:val="bottom"/>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360" w:type="dxa"/>
            <w:vAlign w:val="bottom"/>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rPr>
              <w:t>2027.03.21</w:t>
            </w:r>
          </w:p>
        </w:tc>
        <w:tc>
          <w:tcPr>
            <w:tcW w:w="220" w:type="dxa"/>
            <w:vAlign w:val="bottom"/>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1120" w:type="dxa"/>
            <w:vAlign w:val="bottom"/>
            <w:gridSpan w:val="2"/>
            <w:vMerge w:val="continue"/>
            <w:shd w:val="clear" w:color="auto" w:fill="CCEEFF"/>
          </w:tcPr>
          <w:p>
            <w:pPr>
              <w:spacing w:after="0"/>
              <w:rPr>
                <w:sz w:val="14"/>
                <w:szCs w:val="14"/>
                <w:color w:val="auto"/>
              </w:rPr>
            </w:pPr>
          </w:p>
        </w:tc>
        <w:tc>
          <w:tcPr>
            <w:tcW w:w="1100" w:type="dxa"/>
            <w:vAlign w:val="bottom"/>
            <w:gridSpan w:val="2"/>
            <w:vMerge w:val="continue"/>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B.</w:t>
      </w:r>
      <w:r>
        <w:rPr>
          <w:sz w:val="20"/>
          <w:szCs w:val="20"/>
          <w:color w:val="auto"/>
        </w:rPr>
        <w:tab/>
      </w:r>
      <w:r>
        <w:rPr>
          <w:rFonts w:ascii="Times New Roman" w:cs="Times New Roman" w:eastAsia="Times New Roman" w:hAnsi="Times New Roman"/>
          <w:sz w:val="17"/>
          <w:szCs w:val="17"/>
          <w:b w:val="1"/>
          <w:bCs w:val="1"/>
          <w:color w:val="auto"/>
        </w:rPr>
        <w:t>Valuation assumptions for share options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valuation techniques and key assumptions used in measuring the fair value of share options granted as of December 31, 2025 are as follows:</w:t>
      </w:r>
    </w:p>
    <w:p>
      <w:pPr>
        <w:spacing w:after="0" w:line="225" w:lineRule="exact"/>
        <w:rPr>
          <w:sz w:val="20"/>
          <w:szCs w:val="20"/>
          <w:color w:val="auto"/>
        </w:rPr>
      </w:pPr>
    </w:p>
    <w:p>
      <w:pPr>
        <w:ind w:left="660" w:hanging="328"/>
        <w:spacing w:after="0"/>
        <w:tabs>
          <w:tab w:leader="none" w:pos="6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Company</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w w:val="97"/>
              </w:rPr>
              <w:t>Share Options</w:t>
            </w:r>
          </w:p>
        </w:tc>
      </w:tr>
      <w:tr>
        <w:trPr>
          <w:trHeight w:val="238"/>
        </w:trPr>
        <w:tc>
          <w:tcPr>
            <w:tcW w:w="62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(18th grant)</w:t>
            </w:r>
          </w:p>
        </w:tc>
      </w:tr>
      <w:tr>
        <w:trPr>
          <w:trHeight w:val="210"/>
        </w:trPr>
        <w:tc>
          <w:tcPr>
            <w:tcW w:w="46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price at grant date</w:t>
            </w:r>
          </w:p>
        </w:tc>
        <w:tc>
          <w:tcPr>
            <w:tcW w:w="378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3,520</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37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1.62%</w:t>
            </w:r>
          </w:p>
        </w:tc>
      </w:tr>
      <w:tr>
        <w:trPr>
          <w:trHeight w:val="216"/>
        </w:trPr>
        <w:tc>
          <w:tcPr>
            <w:tcW w:w="4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life</w:t>
            </w:r>
          </w:p>
        </w:tc>
        <w:tc>
          <w:tcPr>
            <w:tcW w:w="37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 years</w:t>
            </w:r>
          </w:p>
        </w:tc>
      </w:tr>
      <w:tr>
        <w:trPr>
          <w:trHeight w:val="216"/>
        </w:trPr>
        <w:tc>
          <w:tcPr>
            <w:tcW w:w="4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37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46.00%</w:t>
            </w:r>
          </w:p>
        </w:tc>
      </w:tr>
      <w:tr>
        <w:trPr>
          <w:trHeight w:val="216"/>
        </w:trPr>
        <w:tc>
          <w:tcPr>
            <w:tcW w:w="4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37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432"/>
        </w:trPr>
        <w:tc>
          <w:tcPr>
            <w:tcW w:w="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ii.</w:t>
            </w:r>
          </w:p>
        </w:tc>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Subsidiary</w:t>
            </w:r>
          </w:p>
        </w:tc>
        <w:tc>
          <w:tcPr>
            <w:tcW w:w="37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62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w w:val="97"/>
              </w:rPr>
              <w:t>Share Options</w:t>
            </w:r>
          </w:p>
        </w:tc>
      </w:tr>
      <w:tr>
        <w:trPr>
          <w:trHeight w:val="238"/>
        </w:trPr>
        <w:tc>
          <w:tcPr>
            <w:tcW w:w="62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(1st grant)</w:t>
            </w:r>
          </w:p>
        </w:tc>
      </w:tr>
      <w:tr>
        <w:trPr>
          <w:trHeight w:val="210"/>
        </w:trPr>
        <w:tc>
          <w:tcPr>
            <w:tcW w:w="46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price at grant date</w:t>
            </w:r>
          </w:p>
        </w:tc>
        <w:tc>
          <w:tcPr>
            <w:tcW w:w="378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758,800</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37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2.64%</w:t>
            </w:r>
          </w:p>
        </w:tc>
      </w:tr>
      <w:tr>
        <w:trPr>
          <w:trHeight w:val="216"/>
        </w:trPr>
        <w:tc>
          <w:tcPr>
            <w:tcW w:w="4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life</w:t>
            </w:r>
          </w:p>
        </w:tc>
        <w:tc>
          <w:tcPr>
            <w:tcW w:w="37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 years</w:t>
            </w:r>
          </w:p>
        </w:tc>
      </w:tr>
      <w:tr>
        <w:trPr>
          <w:trHeight w:val="216"/>
        </w:trPr>
        <w:tc>
          <w:tcPr>
            <w:tcW w:w="4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37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51.00%</w:t>
            </w:r>
          </w:p>
        </w:tc>
      </w:tr>
      <w:tr>
        <w:trPr>
          <w:trHeight w:val="216"/>
        </w:trPr>
        <w:tc>
          <w:tcPr>
            <w:tcW w:w="4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37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432"/>
        </w:trPr>
        <w:tc>
          <w:tcPr>
            <w:tcW w:w="4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  Changes in share options and exercise prices</w:t>
            </w:r>
          </w:p>
        </w:tc>
        <w:tc>
          <w:tcPr>
            <w:tcW w:w="37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99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Changes in the number of share options and the weighted average exercise prices for the year ended December 31, 2025 are as follows:</w:t>
            </w: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w:t>
            </w:r>
          </w:p>
        </w:tc>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Parent Company</w:t>
            </w:r>
          </w:p>
        </w:tc>
        <w:tc>
          <w:tcPr>
            <w:tcW w:w="37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62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7"/>
              </w:rPr>
              <w:t>Weighted</w:t>
            </w:r>
          </w:p>
        </w:tc>
      </w:tr>
      <w:tr>
        <w:trPr>
          <w:trHeight w:val="216"/>
        </w:trPr>
        <w:tc>
          <w:tcPr>
            <w:tcW w:w="62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124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320" w:type="dxa"/>
            <w:vAlign w:val="bottom"/>
          </w:tcPr>
          <w:p>
            <w:pPr>
              <w:spacing w:after="0"/>
              <w:rPr>
                <w:sz w:val="18"/>
                <w:szCs w:val="18"/>
                <w:color w:val="auto"/>
              </w:rPr>
            </w:pPr>
          </w:p>
        </w:tc>
        <w:tc>
          <w:tcPr>
            <w:tcW w:w="126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Average</w:t>
            </w:r>
          </w:p>
        </w:tc>
      </w:tr>
      <w:tr>
        <w:trPr>
          <w:trHeight w:val="238"/>
        </w:trPr>
        <w:tc>
          <w:tcPr>
            <w:tcW w:w="62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124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320" w:type="dxa"/>
            <w:vAlign w:val="bottom"/>
          </w:tcPr>
          <w:p>
            <w:pPr>
              <w:spacing w:after="0"/>
              <w:rPr>
                <w:sz w:val="20"/>
                <w:szCs w:val="20"/>
                <w:color w:val="auto"/>
              </w:rPr>
            </w:pPr>
          </w:p>
        </w:tc>
        <w:tc>
          <w:tcPr>
            <w:tcW w:w="126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8"/>
              </w:rPr>
              <w:t>Exercise Price</w:t>
            </w:r>
          </w:p>
        </w:tc>
      </w:tr>
      <w:tr>
        <w:trPr>
          <w:trHeight w:val="187"/>
        </w:trPr>
        <w:tc>
          <w:tcPr>
            <w:tcW w:w="620" w:type="dxa"/>
            <w:vAlign w:val="bottom"/>
          </w:tcPr>
          <w:p>
            <w:pPr>
              <w:spacing w:after="0"/>
              <w:rPr>
                <w:sz w:val="16"/>
                <w:szCs w:val="16"/>
                <w:color w:val="auto"/>
              </w:rPr>
            </w:pPr>
          </w:p>
        </w:tc>
        <w:tc>
          <w:tcPr>
            <w:tcW w:w="402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2720" w:type="dxa"/>
            <w:vAlign w:val="bottom"/>
            <w:tcBorders>
              <w:top w:val="single" w:sz="8" w:color="auto"/>
            </w:tcBorders>
            <w:gridSpan w:val="4"/>
          </w:tcPr>
          <w:p>
            <w:pPr>
              <w:jc w:val="right"/>
              <w:ind w:right="160"/>
              <w:spacing w:after="0" w:line="188" w:lineRule="exact"/>
              <w:rPr>
                <w:sz w:val="20"/>
                <w:szCs w:val="20"/>
                <w:color w:val="auto"/>
              </w:rPr>
            </w:pPr>
            <w:r>
              <w:rPr>
                <w:rFonts w:ascii="Times New Roman" w:cs="Times New Roman" w:eastAsia="Times New Roman" w:hAnsi="Times New Roman"/>
                <w:sz w:val="18"/>
                <w:szCs w:val="18"/>
                <w:b w:val="1"/>
                <w:bCs w:val="1"/>
                <w:color w:val="auto"/>
              </w:rPr>
              <w:t>(In Korean won and number of</w:t>
            </w:r>
          </w:p>
        </w:tc>
        <w:tc>
          <w:tcPr>
            <w:tcW w:w="100" w:type="dxa"/>
            <w:vAlign w:val="bottom"/>
          </w:tcPr>
          <w:p>
            <w:pPr>
              <w:spacing w:after="0"/>
              <w:rPr>
                <w:sz w:val="16"/>
                <w:szCs w:val="16"/>
                <w:color w:val="auto"/>
              </w:rPr>
            </w:pPr>
          </w:p>
        </w:tc>
      </w:tr>
      <w:tr>
        <w:trPr>
          <w:trHeight w:val="238"/>
        </w:trPr>
        <w:tc>
          <w:tcPr>
            <w:tcW w:w="62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2820" w:type="dxa"/>
            <w:vAlign w:val="bottom"/>
            <w:gridSpan w:val="5"/>
          </w:tcPr>
          <w:p>
            <w:pPr>
              <w:jc w:val="right"/>
              <w:ind w:right="1200"/>
              <w:spacing w:after="0"/>
              <w:rPr>
                <w:sz w:val="20"/>
                <w:szCs w:val="20"/>
                <w:color w:val="auto"/>
              </w:rPr>
            </w:pPr>
            <w:r>
              <w:rPr>
                <w:rFonts w:ascii="Times New Roman" w:cs="Times New Roman" w:eastAsia="Times New Roman" w:hAnsi="Times New Roman"/>
                <w:sz w:val="18"/>
                <w:szCs w:val="18"/>
                <w:b w:val="1"/>
                <w:bCs w:val="1"/>
                <w:color w:val="auto"/>
              </w:rPr>
              <w:t>shares)</w:t>
            </w:r>
          </w:p>
        </w:tc>
      </w:tr>
      <w:tr>
        <w:trPr>
          <w:trHeight w:val="216"/>
        </w:trPr>
        <w:tc>
          <w:tcPr>
            <w:tcW w:w="4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502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245,442</w:t>
            </w:r>
          </w:p>
        </w:tc>
        <w:tc>
          <w:tcPr>
            <w:tcW w:w="32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2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2,864</w:t>
            </w: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4020" w:type="dxa"/>
            <w:vAlign w:val="bottom"/>
          </w:tcPr>
          <w:p>
            <w:pPr>
              <w:spacing w:after="0"/>
              <w:rPr>
                <w:sz w:val="18"/>
                <w:szCs w:val="18"/>
                <w:color w:val="auto"/>
              </w:rPr>
            </w:pPr>
          </w:p>
        </w:tc>
        <w:tc>
          <w:tcPr>
            <w:tcW w:w="50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2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Expired</w:t>
            </w:r>
          </w:p>
        </w:tc>
        <w:tc>
          <w:tcPr>
            <w:tcW w:w="4020" w:type="dxa"/>
            <w:vAlign w:val="bottom"/>
            <w:shd w:val="clear" w:color="auto" w:fill="CCEEFF"/>
          </w:tcPr>
          <w:p>
            <w:pPr>
              <w:spacing w:after="0"/>
              <w:rPr>
                <w:sz w:val="18"/>
                <w:szCs w:val="18"/>
                <w:color w:val="auto"/>
              </w:rPr>
            </w:pPr>
          </w:p>
        </w:tc>
        <w:tc>
          <w:tcPr>
            <w:tcW w:w="5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(76,400)</w:t>
            </w:r>
          </w:p>
        </w:tc>
        <w:tc>
          <w:tcPr>
            <w:tcW w:w="32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3,130</w:t>
            </w:r>
          </w:p>
        </w:tc>
      </w:tr>
      <w:tr>
        <w:trPr>
          <w:trHeight w:val="216"/>
        </w:trPr>
        <w:tc>
          <w:tcPr>
            <w:tcW w:w="4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Forfeited</w:t>
            </w:r>
          </w:p>
        </w:tc>
        <w:tc>
          <w:tcPr>
            <w:tcW w:w="5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(83,942)</w:t>
            </w:r>
          </w:p>
        </w:tc>
        <w:tc>
          <w:tcPr>
            <w:tcW w:w="320" w:type="dxa"/>
            <w:vAlign w:val="bottom"/>
          </w:tcPr>
          <w:p>
            <w:pPr>
              <w:spacing w:after="0"/>
              <w:rPr>
                <w:sz w:val="18"/>
                <w:szCs w:val="18"/>
                <w:color w:val="auto"/>
              </w:rPr>
            </w:pPr>
          </w:p>
        </w:tc>
        <w:tc>
          <w:tcPr>
            <w:tcW w:w="12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1,923</w:t>
            </w:r>
          </w:p>
        </w:tc>
      </w:tr>
      <w:tr>
        <w:trPr>
          <w:trHeight w:val="216"/>
        </w:trPr>
        <w:tc>
          <w:tcPr>
            <w:tcW w:w="4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502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85,100</w:t>
            </w:r>
          </w:p>
        </w:tc>
        <w:tc>
          <w:tcPr>
            <w:tcW w:w="32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2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3,552</w:t>
            </w:r>
          </w:p>
        </w:tc>
      </w:tr>
      <w:tr>
        <w:trPr>
          <w:trHeight w:val="560"/>
        </w:trPr>
        <w:tc>
          <w:tcPr>
            <w:tcW w:w="620" w:type="dxa"/>
            <w:vAlign w:val="bottom"/>
            <w:tcBorders>
              <w:bottom w:val="single" w:sz="8" w:color="auto"/>
            </w:tcBorders>
          </w:tcPr>
          <w:p>
            <w:pPr>
              <w:spacing w:after="0"/>
              <w:rPr>
                <w:sz w:val="24"/>
                <w:szCs w:val="24"/>
                <w:color w:val="auto"/>
              </w:rPr>
            </w:pPr>
          </w:p>
        </w:tc>
        <w:tc>
          <w:tcPr>
            <w:tcW w:w="402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tcPr>
          <w:p>
            <w:pPr>
              <w:jc w:val="right"/>
              <w:ind w:right="2610"/>
              <w:spacing w:after="0"/>
              <w:rPr>
                <w:sz w:val="20"/>
                <w:szCs w:val="20"/>
                <w:color w:val="auto"/>
              </w:rPr>
            </w:pPr>
            <w:r>
              <w:rPr>
                <w:rFonts w:ascii="Times New Roman" w:cs="Times New Roman" w:eastAsia="Times New Roman" w:hAnsi="Times New Roman"/>
                <w:sz w:val="18"/>
                <w:szCs w:val="18"/>
                <w:color w:val="auto"/>
              </w:rPr>
              <w:t>45</w:t>
            </w:r>
          </w:p>
        </w:tc>
        <w:tc>
          <w:tcPr>
            <w:tcW w:w="12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65" w:right="339" w:bottom="1440" w:gutter="0" w:footer="0" w:header="0"/>
        </w:sectPr>
      </w:pPr>
    </w:p>
    <w:bookmarkStart w:id="48" w:name="page49"/>
    <w:bookmarkEnd w:id="48"/>
    <w:p>
      <w:pPr>
        <w:jc w:val="center"/>
        <w:spacing w:after="0"/>
        <w:rPr>
          <w:sz w:val="20"/>
          <w:szCs w:val="20"/>
          <w:color w:val="auto"/>
        </w:rPr>
      </w:pPr>
      <w:r>
        <w:rPr>
          <w:rFonts w:ascii="Times New Roman" w:cs="Times New Roman" w:eastAsia="Times New Roman" w:hAnsi="Times New Roman"/>
          <w:sz w:val="18"/>
          <w:szCs w:val="18"/>
          <w:b w:val="1"/>
          <w:bCs w:val="1"/>
          <w:color w:val="auto"/>
        </w:rPr>
        <w:t>HANSOL INTICUBE CO.,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ii.  Subsidiary</w:t>
            </w:r>
          </w:p>
        </w:tc>
        <w:tc>
          <w:tcPr>
            <w:tcW w:w="1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84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7"/>
              </w:rPr>
              <w:t>Weighted</w:t>
            </w:r>
          </w:p>
        </w:tc>
      </w:tr>
      <w:tr>
        <w:trPr>
          <w:trHeight w:val="216"/>
        </w:trPr>
        <w:tc>
          <w:tcPr>
            <w:tcW w:w="8420" w:type="dxa"/>
            <w:vAlign w:val="bottom"/>
          </w:tcPr>
          <w:p>
            <w:pPr>
              <w:spacing w:after="0"/>
              <w:rPr>
                <w:sz w:val="18"/>
                <w:szCs w:val="18"/>
                <w:color w:val="auto"/>
              </w:rPr>
            </w:pPr>
          </w:p>
        </w:tc>
        <w:tc>
          <w:tcPr>
            <w:tcW w:w="122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340" w:type="dxa"/>
            <w:vAlign w:val="bottom"/>
          </w:tcPr>
          <w:p>
            <w:pPr>
              <w:spacing w:after="0"/>
              <w:rPr>
                <w:sz w:val="18"/>
                <w:szCs w:val="18"/>
                <w:color w:val="auto"/>
              </w:rPr>
            </w:pPr>
          </w:p>
        </w:tc>
        <w:tc>
          <w:tcPr>
            <w:tcW w:w="12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Average</w:t>
            </w:r>
          </w:p>
        </w:tc>
      </w:tr>
      <w:tr>
        <w:trPr>
          <w:trHeight w:val="238"/>
        </w:trPr>
        <w:tc>
          <w:tcPr>
            <w:tcW w:w="8420" w:type="dxa"/>
            <w:vAlign w:val="bottom"/>
          </w:tcPr>
          <w:p>
            <w:pPr>
              <w:spacing w:after="0"/>
              <w:rPr>
                <w:sz w:val="20"/>
                <w:szCs w:val="20"/>
                <w:color w:val="auto"/>
              </w:rPr>
            </w:pPr>
          </w:p>
        </w:tc>
        <w:tc>
          <w:tcPr>
            <w:tcW w:w="12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340" w:type="dxa"/>
            <w:vAlign w:val="bottom"/>
          </w:tcPr>
          <w:p>
            <w:pPr>
              <w:spacing w:after="0"/>
              <w:rPr>
                <w:sz w:val="20"/>
                <w:szCs w:val="20"/>
                <w:color w:val="auto"/>
              </w:rPr>
            </w:pPr>
          </w:p>
        </w:tc>
        <w:tc>
          <w:tcPr>
            <w:tcW w:w="12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8"/>
              </w:rPr>
              <w:t>Exercise Price</w:t>
            </w:r>
          </w:p>
        </w:tc>
      </w:tr>
      <w:tr>
        <w:trPr>
          <w:trHeight w:val="187"/>
        </w:trPr>
        <w:tc>
          <w:tcPr>
            <w:tcW w:w="8420" w:type="dxa"/>
            <w:vAlign w:val="bottom"/>
          </w:tcPr>
          <w:p>
            <w:pPr>
              <w:spacing w:after="0"/>
              <w:rPr>
                <w:sz w:val="16"/>
                <w:szCs w:val="16"/>
                <w:color w:val="auto"/>
              </w:rPr>
            </w:pPr>
          </w:p>
        </w:tc>
        <w:tc>
          <w:tcPr>
            <w:tcW w:w="2720" w:type="dxa"/>
            <w:vAlign w:val="bottom"/>
            <w:tcBorders>
              <w:top w:val="single" w:sz="8" w:color="auto"/>
            </w:tcBorders>
            <w:gridSpan w:val="3"/>
          </w:tcPr>
          <w:p>
            <w:pPr>
              <w:ind w:left="160"/>
              <w:spacing w:after="0" w:line="188" w:lineRule="exact"/>
              <w:rPr>
                <w:sz w:val="20"/>
                <w:szCs w:val="20"/>
                <w:color w:val="auto"/>
              </w:rPr>
            </w:pPr>
            <w:r>
              <w:rPr>
                <w:rFonts w:ascii="Times New Roman" w:cs="Times New Roman" w:eastAsia="Times New Roman" w:hAnsi="Times New Roman"/>
                <w:sz w:val="18"/>
                <w:szCs w:val="18"/>
                <w:b w:val="1"/>
                <w:bCs w:val="1"/>
                <w:color w:val="auto"/>
              </w:rPr>
              <w:t>(In Korean won and number of</w:t>
            </w:r>
          </w:p>
        </w:tc>
        <w:tc>
          <w:tcPr>
            <w:tcW w:w="100" w:type="dxa"/>
            <w:vAlign w:val="bottom"/>
          </w:tcPr>
          <w:p>
            <w:pPr>
              <w:spacing w:after="0"/>
              <w:rPr>
                <w:sz w:val="16"/>
                <w:szCs w:val="16"/>
                <w:color w:val="auto"/>
              </w:rPr>
            </w:pPr>
          </w:p>
        </w:tc>
      </w:tr>
      <w:tr>
        <w:trPr>
          <w:trHeight w:val="238"/>
        </w:trPr>
        <w:tc>
          <w:tcPr>
            <w:tcW w:w="8420" w:type="dxa"/>
            <w:vAlign w:val="bottom"/>
          </w:tcPr>
          <w:p>
            <w:pPr>
              <w:spacing w:after="0"/>
              <w:rPr>
                <w:sz w:val="20"/>
                <w:szCs w:val="20"/>
                <w:color w:val="auto"/>
              </w:rPr>
            </w:pPr>
          </w:p>
        </w:tc>
        <w:tc>
          <w:tcPr>
            <w:tcW w:w="2820" w:type="dxa"/>
            <w:vAlign w:val="bottom"/>
            <w:gridSpan w:val="4"/>
          </w:tcPr>
          <w:p>
            <w:pPr>
              <w:ind w:left="1040"/>
              <w:spacing w:after="0"/>
              <w:rPr>
                <w:sz w:val="20"/>
                <w:szCs w:val="20"/>
                <w:color w:val="auto"/>
              </w:rPr>
            </w:pPr>
            <w:r>
              <w:rPr>
                <w:rFonts w:ascii="Times New Roman" w:cs="Times New Roman" w:eastAsia="Times New Roman" w:hAnsi="Times New Roman"/>
                <w:sz w:val="18"/>
                <w:szCs w:val="18"/>
                <w:b w:val="1"/>
                <w:bCs w:val="1"/>
                <w:color w:val="auto"/>
              </w:rPr>
              <w:t>options)</w:t>
            </w:r>
          </w:p>
        </w:tc>
      </w:tr>
      <w:tr>
        <w:trPr>
          <w:trHeight w:val="216"/>
        </w:trPr>
        <w:tc>
          <w:tcPr>
            <w:tcW w:w="8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1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210</w:t>
            </w:r>
          </w:p>
        </w:tc>
        <w:tc>
          <w:tcPr>
            <w:tcW w:w="3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710,000</w:t>
            </w:r>
          </w:p>
        </w:tc>
      </w:tr>
      <w:tr>
        <w:trPr>
          <w:trHeight w:val="216"/>
        </w:trPr>
        <w:tc>
          <w:tcPr>
            <w:tcW w:w="8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1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210</w:t>
            </w:r>
          </w:p>
        </w:tc>
        <w:tc>
          <w:tcPr>
            <w:tcW w:w="3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710,000</w:t>
            </w:r>
          </w:p>
        </w:tc>
      </w:tr>
    </w:tbl>
    <w:p>
      <w:pPr>
        <w:spacing w:after="0" w:line="194" w:lineRule="exact"/>
        <w:rPr>
          <w:sz w:val="20"/>
          <w:szCs w:val="20"/>
          <w:color w:val="auto"/>
        </w:rPr>
      </w:pPr>
    </w:p>
    <w:p>
      <w:pPr>
        <w:ind w:left="340" w:right="7980" w:hanging="332"/>
        <w:spacing w:after="0" w:line="500" w:lineRule="auto"/>
        <w:tabs>
          <w:tab w:leader="none" w:pos="340"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Changes in share-based compensation </w:t>
      </w:r>
      <w:r>
        <w:rPr>
          <w:rFonts w:ascii="Times New Roman" w:cs="Times New Roman" w:eastAsia="Times New Roman" w:hAnsi="Times New Roman"/>
          <w:sz w:val="18"/>
          <w:szCs w:val="18"/>
          <w:color w:val="auto"/>
        </w:rPr>
        <w:t>i. Parent Company</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8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20"/>
                <w:szCs w:val="20"/>
                <w:color w:val="auto"/>
              </w:rPr>
            </w:pPr>
          </w:p>
        </w:tc>
      </w:tr>
      <w:tr>
        <w:trPr>
          <w:trHeight w:val="187"/>
        </w:trPr>
        <w:tc>
          <w:tcPr>
            <w:tcW w:w="5680" w:type="dxa"/>
            <w:vAlign w:val="bottom"/>
          </w:tcPr>
          <w:p>
            <w:pPr>
              <w:spacing w:after="0"/>
              <w:rPr>
                <w:sz w:val="16"/>
                <w:szCs w:val="16"/>
                <w:color w:val="auto"/>
              </w:rPr>
            </w:pPr>
          </w:p>
        </w:tc>
        <w:tc>
          <w:tcPr>
            <w:tcW w:w="4340" w:type="dxa"/>
            <w:vAlign w:val="bottom"/>
          </w:tcPr>
          <w:p>
            <w:pPr>
              <w:spacing w:after="0"/>
              <w:rPr>
                <w:sz w:val="16"/>
                <w:szCs w:val="16"/>
                <w:color w:val="auto"/>
              </w:rPr>
            </w:pPr>
          </w:p>
        </w:tc>
        <w:tc>
          <w:tcPr>
            <w:tcW w:w="112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8"/>
              </w:rPr>
              <w:t>(In thousands</w:t>
            </w:r>
          </w:p>
        </w:tc>
        <w:tc>
          <w:tcPr>
            <w:tcW w:w="100" w:type="dxa"/>
            <w:vAlign w:val="bottom"/>
          </w:tcPr>
          <w:p>
            <w:pPr>
              <w:spacing w:after="0"/>
              <w:rPr>
                <w:sz w:val="16"/>
                <w:szCs w:val="16"/>
                <w:color w:val="auto"/>
              </w:rPr>
            </w:pPr>
          </w:p>
        </w:tc>
      </w:tr>
      <w:tr>
        <w:trPr>
          <w:trHeight w:val="216"/>
        </w:trPr>
        <w:tc>
          <w:tcPr>
            <w:tcW w:w="568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of Korean</w:t>
            </w:r>
          </w:p>
        </w:tc>
      </w:tr>
      <w:tr>
        <w:trPr>
          <w:trHeight w:val="238"/>
        </w:trPr>
        <w:tc>
          <w:tcPr>
            <w:tcW w:w="568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won)</w:t>
            </w:r>
          </w:p>
        </w:tc>
      </w:tr>
      <w:tr>
        <w:trPr>
          <w:trHeight w:val="216"/>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4340" w:type="dxa"/>
            <w:vAlign w:val="bottom"/>
            <w:shd w:val="clear" w:color="auto" w:fill="CCEEFF"/>
          </w:tcPr>
          <w:p>
            <w:pPr>
              <w:ind w:left="406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135,740</w:t>
            </w:r>
          </w:p>
        </w:tc>
      </w:tr>
      <w:tr>
        <w:trPr>
          <w:trHeight w:val="216"/>
        </w:trPr>
        <w:tc>
          <w:tcPr>
            <w:tcW w:w="5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Expense recognized</w:t>
            </w:r>
          </w:p>
        </w:tc>
        <w:tc>
          <w:tcPr>
            <w:tcW w:w="43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2,395</w:t>
            </w:r>
          </w:p>
        </w:tc>
      </w:tr>
      <w:tr>
        <w:trPr>
          <w:trHeight w:val="216"/>
        </w:trPr>
        <w:tc>
          <w:tcPr>
            <w:tcW w:w="5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4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(28,739)</w:t>
            </w:r>
          </w:p>
        </w:tc>
      </w:tr>
      <w:tr>
        <w:trPr>
          <w:trHeight w:val="216"/>
        </w:trPr>
        <w:tc>
          <w:tcPr>
            <w:tcW w:w="5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Expired</w:t>
            </w:r>
          </w:p>
        </w:tc>
        <w:tc>
          <w:tcPr>
            <w:tcW w:w="434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(62,801)</w:t>
            </w:r>
          </w:p>
        </w:tc>
      </w:tr>
      <w:tr>
        <w:trPr>
          <w:trHeight w:val="216"/>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4340" w:type="dxa"/>
            <w:vAlign w:val="bottom"/>
            <w:shd w:val="clear" w:color="auto" w:fill="CCEEFF"/>
          </w:tcPr>
          <w:p>
            <w:pPr>
              <w:ind w:left="406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46,595</w:t>
            </w:r>
          </w:p>
        </w:tc>
      </w:tr>
      <w:tr>
        <w:trPr>
          <w:trHeight w:val="432"/>
        </w:trPr>
        <w:tc>
          <w:tcPr>
            <w:tcW w:w="5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ii.  Subsidiary</w:t>
            </w:r>
          </w:p>
        </w:tc>
        <w:tc>
          <w:tcPr>
            <w:tcW w:w="4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568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24"/>
                <w:szCs w:val="24"/>
                <w:color w:val="auto"/>
              </w:rPr>
            </w:pPr>
          </w:p>
        </w:tc>
      </w:tr>
      <w:tr>
        <w:trPr>
          <w:trHeight w:val="187"/>
        </w:trPr>
        <w:tc>
          <w:tcPr>
            <w:tcW w:w="5680" w:type="dxa"/>
            <w:vAlign w:val="bottom"/>
          </w:tcPr>
          <w:p>
            <w:pPr>
              <w:spacing w:after="0"/>
              <w:rPr>
                <w:sz w:val="16"/>
                <w:szCs w:val="16"/>
                <w:color w:val="auto"/>
              </w:rPr>
            </w:pPr>
          </w:p>
        </w:tc>
        <w:tc>
          <w:tcPr>
            <w:tcW w:w="4340" w:type="dxa"/>
            <w:vAlign w:val="bottom"/>
          </w:tcPr>
          <w:p>
            <w:pPr>
              <w:spacing w:after="0"/>
              <w:rPr>
                <w:sz w:val="16"/>
                <w:szCs w:val="16"/>
                <w:color w:val="auto"/>
              </w:rPr>
            </w:pPr>
          </w:p>
        </w:tc>
        <w:tc>
          <w:tcPr>
            <w:tcW w:w="112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8"/>
              </w:rPr>
              <w:t>(In thousands</w:t>
            </w:r>
          </w:p>
        </w:tc>
        <w:tc>
          <w:tcPr>
            <w:tcW w:w="100" w:type="dxa"/>
            <w:vAlign w:val="bottom"/>
          </w:tcPr>
          <w:p>
            <w:pPr>
              <w:spacing w:after="0"/>
              <w:rPr>
                <w:sz w:val="16"/>
                <w:szCs w:val="16"/>
                <w:color w:val="auto"/>
              </w:rPr>
            </w:pPr>
          </w:p>
        </w:tc>
      </w:tr>
      <w:tr>
        <w:trPr>
          <w:trHeight w:val="216"/>
        </w:trPr>
        <w:tc>
          <w:tcPr>
            <w:tcW w:w="568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of Korean</w:t>
            </w:r>
          </w:p>
        </w:tc>
      </w:tr>
      <w:tr>
        <w:trPr>
          <w:trHeight w:val="238"/>
        </w:trPr>
        <w:tc>
          <w:tcPr>
            <w:tcW w:w="568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won)</w:t>
            </w:r>
          </w:p>
        </w:tc>
      </w:tr>
      <w:tr>
        <w:trPr>
          <w:trHeight w:val="216"/>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4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78,160</w:t>
            </w:r>
          </w:p>
        </w:tc>
      </w:tr>
      <w:tr>
        <w:trPr>
          <w:trHeight w:val="216"/>
        </w:trPr>
        <w:tc>
          <w:tcPr>
            <w:tcW w:w="5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Expense recognized</w:t>
            </w:r>
          </w:p>
        </w:tc>
        <w:tc>
          <w:tcPr>
            <w:tcW w:w="43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4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4340" w:type="dxa"/>
            <w:vAlign w:val="bottom"/>
          </w:tcPr>
          <w:p>
            <w:pPr>
              <w:spacing w:after="0"/>
              <w:rPr>
                <w:sz w:val="20"/>
                <w:szCs w:val="20"/>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78,160</w:t>
            </w:r>
          </w:p>
        </w:tc>
      </w:tr>
    </w:tbl>
    <w:p>
      <w:pPr>
        <w:spacing w:after="0" w:line="175"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E.</w:t>
      </w:r>
      <w:r>
        <w:rPr>
          <w:sz w:val="20"/>
          <w:szCs w:val="20"/>
          <w:color w:val="auto"/>
        </w:rPr>
        <w:tab/>
      </w:r>
      <w:r>
        <w:rPr>
          <w:rFonts w:ascii="Times New Roman" w:cs="Times New Roman" w:eastAsia="Times New Roman" w:hAnsi="Times New Roman"/>
          <w:sz w:val="17"/>
          <w:szCs w:val="17"/>
          <w:b w:val="1"/>
          <w:bCs w:val="1"/>
          <w:color w:val="auto"/>
        </w:rPr>
        <w:t>Outstanding share options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Weighted average exercise price and weighted average remaining contractual life of outstanding share options as of December 31, 2025 are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w:t>
            </w:r>
          </w:p>
        </w:tc>
        <w:tc>
          <w:tcPr>
            <w:tcW w:w="3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Parent Company</w:t>
            </w:r>
          </w:p>
        </w:tc>
        <w:tc>
          <w:tcPr>
            <w:tcW w:w="56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56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5660" w:type="dxa"/>
            <w:vAlign w:val="bottom"/>
          </w:tcPr>
          <w:p>
            <w:pPr>
              <w:spacing w:after="0"/>
              <w:rPr>
                <w:sz w:val="24"/>
                <w:szCs w:val="24"/>
                <w:color w:val="auto"/>
              </w:rPr>
            </w:pPr>
          </w:p>
        </w:tc>
        <w:tc>
          <w:tcPr>
            <w:tcW w:w="12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56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6780" w:type="dxa"/>
            <w:vAlign w:val="bottom"/>
            <w:gridSpan w:val="2"/>
          </w:tcPr>
          <w:p>
            <w:pPr>
              <w:ind w:left="604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r>
      <w:tr>
        <w:trPr>
          <w:trHeight w:val="210"/>
        </w:trPr>
        <w:tc>
          <w:tcPr>
            <w:tcW w:w="43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exercise price</w:t>
            </w:r>
          </w:p>
        </w:tc>
        <w:tc>
          <w:tcPr>
            <w:tcW w:w="56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3,552</w:t>
            </w:r>
          </w:p>
        </w:tc>
        <w:tc>
          <w:tcPr>
            <w:tcW w:w="100" w:type="dxa"/>
            <w:vAlign w:val="bottom"/>
            <w:tcBorders>
              <w:top w:val="single" w:sz="8" w:color="CCEEFF"/>
            </w:tcBorders>
            <w:shd w:val="clear" w:color="auto" w:fill="CCEEFF"/>
          </w:tcPr>
          <w:p>
            <w:pPr>
              <w:spacing w:after="0"/>
              <w:rPr>
                <w:sz w:val="18"/>
                <w:szCs w:val="18"/>
                <w:color w:val="auto"/>
              </w:rPr>
            </w:pPr>
          </w:p>
        </w:tc>
      </w:tr>
      <w:tr>
        <w:trPr>
          <w:trHeight w:val="234"/>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 average remaining contractual life</w:t>
            </w:r>
          </w:p>
        </w:tc>
        <w:tc>
          <w:tcPr>
            <w:tcW w:w="5660" w:type="dxa"/>
            <w:vAlign w:val="bottom"/>
          </w:tcPr>
          <w:p>
            <w:pPr>
              <w:spacing w:after="0"/>
              <w:rPr>
                <w:sz w:val="20"/>
                <w:szCs w:val="20"/>
                <w:color w:val="auto"/>
              </w:rPr>
            </w:pPr>
          </w:p>
        </w:tc>
        <w:tc>
          <w:tcPr>
            <w:tcW w:w="12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0.23 years</w:t>
            </w:r>
          </w:p>
        </w:tc>
      </w:tr>
      <w:tr>
        <w:trPr>
          <w:trHeight w:val="414"/>
        </w:trPr>
        <w:tc>
          <w:tcPr>
            <w:tcW w:w="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ii.</w:t>
            </w:r>
          </w:p>
        </w:tc>
        <w:tc>
          <w:tcPr>
            <w:tcW w:w="3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Subsidiary</w:t>
            </w:r>
          </w:p>
        </w:tc>
        <w:tc>
          <w:tcPr>
            <w:tcW w:w="56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56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5660" w:type="dxa"/>
            <w:vAlign w:val="bottom"/>
          </w:tcPr>
          <w:p>
            <w:pPr>
              <w:spacing w:after="0"/>
              <w:rPr>
                <w:sz w:val="24"/>
                <w:szCs w:val="24"/>
                <w:color w:val="auto"/>
              </w:rPr>
            </w:pPr>
          </w:p>
        </w:tc>
        <w:tc>
          <w:tcPr>
            <w:tcW w:w="12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56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6780" w:type="dxa"/>
            <w:vAlign w:val="bottom"/>
            <w:gridSpan w:val="2"/>
          </w:tcPr>
          <w:p>
            <w:pPr>
              <w:ind w:left="604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r>
      <w:tr>
        <w:trPr>
          <w:trHeight w:val="209"/>
        </w:trPr>
        <w:tc>
          <w:tcPr>
            <w:tcW w:w="43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exercise price</w:t>
            </w:r>
          </w:p>
        </w:tc>
        <w:tc>
          <w:tcPr>
            <w:tcW w:w="56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34"/>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 average remaining contractual life</w:t>
            </w:r>
          </w:p>
        </w:tc>
        <w:tc>
          <w:tcPr>
            <w:tcW w:w="5660" w:type="dxa"/>
            <w:vAlign w:val="bottom"/>
          </w:tcPr>
          <w:p>
            <w:pPr>
              <w:spacing w:after="0"/>
              <w:rPr>
                <w:sz w:val="20"/>
                <w:szCs w:val="20"/>
                <w:color w:val="auto"/>
              </w:rPr>
            </w:pPr>
          </w:p>
        </w:tc>
        <w:tc>
          <w:tcPr>
            <w:tcW w:w="12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1.22 years</w:t>
            </w:r>
          </w:p>
        </w:tc>
      </w:tr>
      <w:tr>
        <w:trPr>
          <w:trHeight w:val="542"/>
        </w:trPr>
        <w:tc>
          <w:tcPr>
            <w:tcW w:w="56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spacing w:after="0"/>
              <w:rPr>
                <w:sz w:val="24"/>
                <w:szCs w:val="24"/>
                <w:color w:val="auto"/>
              </w:rPr>
            </w:pPr>
          </w:p>
        </w:tc>
        <w:tc>
          <w:tcPr>
            <w:tcW w:w="5660" w:type="dxa"/>
            <w:vAlign w:val="bottom"/>
            <w:tcBorders>
              <w:bottom w:val="single" w:sz="8" w:color="auto"/>
            </w:tcBorders>
          </w:tcPr>
          <w:p>
            <w:pPr>
              <w:jc w:val="right"/>
              <w:ind w:right="4210"/>
              <w:spacing w:after="0"/>
              <w:rPr>
                <w:sz w:val="20"/>
                <w:szCs w:val="20"/>
                <w:color w:val="auto"/>
              </w:rPr>
            </w:pPr>
            <w:r>
              <w:rPr>
                <w:rFonts w:ascii="Times New Roman" w:cs="Times New Roman" w:eastAsia="Times New Roman" w:hAnsi="Times New Roman"/>
                <w:sz w:val="18"/>
                <w:szCs w:val="18"/>
                <w:color w:val="auto"/>
              </w:rPr>
              <w:t>46</w:t>
            </w: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65" w:right="339" w:bottom="1440" w:gutter="0" w:footer="0" w:header="0"/>
        </w:sectPr>
      </w:pPr>
    </w:p>
    <w:bookmarkStart w:id="49" w:name="page50"/>
    <w:bookmarkEnd w:id="49"/>
    <w:p>
      <w:pPr>
        <w:jc w:val="center"/>
        <w:spacing w:after="0"/>
        <w:rPr>
          <w:sz w:val="20"/>
          <w:szCs w:val="20"/>
          <w:color w:val="auto"/>
        </w:rPr>
      </w:pPr>
      <w:r>
        <w:rPr>
          <w:rFonts w:ascii="Times New Roman" w:cs="Times New Roman" w:eastAsia="Times New Roman" w:hAnsi="Times New Roman"/>
          <w:sz w:val="18"/>
          <w:szCs w:val="18"/>
          <w:b w:val="1"/>
          <w:bCs w:val="1"/>
          <w:color w:val="auto"/>
        </w:rPr>
        <w:t>HANSOL INTICUBE CO.,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ind w:left="340" w:hanging="332"/>
        <w:spacing w:after="0"/>
        <w:tabs>
          <w:tab w:leader="none" w:pos="340" w:val="left"/>
        </w:tabs>
        <w:numPr>
          <w:ilvl w:val="0"/>
          <w:numId w:val="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Share-based payment expenses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Share-based payment expenses recognized and to be recognized are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w:t>
            </w:r>
          </w:p>
        </w:tc>
        <w:tc>
          <w:tcPr>
            <w:tcW w:w="9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Parent Company</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560" w:type="dxa"/>
            <w:vAlign w:val="bottom"/>
          </w:tcPr>
          <w:p>
            <w:pPr>
              <w:spacing w:after="0"/>
              <w:rPr>
                <w:sz w:val="24"/>
                <w:szCs w:val="24"/>
                <w:color w:val="auto"/>
              </w:rPr>
            </w:pPr>
          </w:p>
        </w:tc>
        <w:tc>
          <w:tcPr>
            <w:tcW w:w="9460" w:type="dxa"/>
            <w:vAlign w:val="bottom"/>
          </w:tcPr>
          <w:p>
            <w:pPr>
              <w:spacing w:after="0"/>
              <w:rPr>
                <w:sz w:val="24"/>
                <w:szCs w:val="24"/>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8"/>
        </w:trPr>
        <w:tc>
          <w:tcPr>
            <w:tcW w:w="560" w:type="dxa"/>
            <w:vAlign w:val="bottom"/>
          </w:tcPr>
          <w:p>
            <w:pPr>
              <w:spacing w:after="0"/>
              <w:rPr>
                <w:sz w:val="20"/>
                <w:szCs w:val="20"/>
                <w:color w:val="auto"/>
              </w:rPr>
            </w:pPr>
          </w:p>
        </w:tc>
        <w:tc>
          <w:tcPr>
            <w:tcW w:w="946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20"/>
                <w:szCs w:val="20"/>
                <w:color w:val="auto"/>
              </w:rPr>
            </w:pPr>
          </w:p>
        </w:tc>
      </w:tr>
      <w:tr>
        <w:trPr>
          <w:trHeight w:val="187"/>
        </w:trPr>
        <w:tc>
          <w:tcPr>
            <w:tcW w:w="560" w:type="dxa"/>
            <w:vAlign w:val="bottom"/>
          </w:tcPr>
          <w:p>
            <w:pPr>
              <w:spacing w:after="0"/>
              <w:rPr>
                <w:sz w:val="16"/>
                <w:szCs w:val="16"/>
                <w:color w:val="auto"/>
              </w:rPr>
            </w:pPr>
          </w:p>
        </w:tc>
        <w:tc>
          <w:tcPr>
            <w:tcW w:w="9460" w:type="dxa"/>
            <w:vAlign w:val="bottom"/>
          </w:tcPr>
          <w:p>
            <w:pPr>
              <w:spacing w:after="0"/>
              <w:rPr>
                <w:sz w:val="16"/>
                <w:szCs w:val="16"/>
                <w:color w:val="auto"/>
              </w:rPr>
            </w:pPr>
          </w:p>
        </w:tc>
        <w:tc>
          <w:tcPr>
            <w:tcW w:w="112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8"/>
              </w:rPr>
              <w:t>(In thousands</w:t>
            </w:r>
          </w:p>
        </w:tc>
        <w:tc>
          <w:tcPr>
            <w:tcW w:w="100" w:type="dxa"/>
            <w:vAlign w:val="bottom"/>
          </w:tcPr>
          <w:p>
            <w:pPr>
              <w:spacing w:after="0"/>
              <w:rPr>
                <w:sz w:val="16"/>
                <w:szCs w:val="16"/>
                <w:color w:val="auto"/>
              </w:rPr>
            </w:pPr>
          </w:p>
        </w:tc>
      </w:tr>
      <w:tr>
        <w:trPr>
          <w:trHeight w:val="216"/>
        </w:trPr>
        <w:tc>
          <w:tcPr>
            <w:tcW w:w="560" w:type="dxa"/>
            <w:vAlign w:val="bottom"/>
          </w:tcPr>
          <w:p>
            <w:pPr>
              <w:spacing w:after="0"/>
              <w:rPr>
                <w:sz w:val="18"/>
                <w:szCs w:val="18"/>
                <w:color w:val="auto"/>
              </w:rPr>
            </w:pPr>
          </w:p>
        </w:tc>
        <w:tc>
          <w:tcPr>
            <w:tcW w:w="946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of Korean</w:t>
            </w:r>
          </w:p>
        </w:tc>
      </w:tr>
      <w:tr>
        <w:trPr>
          <w:trHeight w:val="238"/>
        </w:trPr>
        <w:tc>
          <w:tcPr>
            <w:tcW w:w="560" w:type="dxa"/>
            <w:vAlign w:val="bottom"/>
          </w:tcPr>
          <w:p>
            <w:pPr>
              <w:spacing w:after="0"/>
              <w:rPr>
                <w:sz w:val="20"/>
                <w:szCs w:val="20"/>
                <w:color w:val="auto"/>
              </w:rPr>
            </w:pPr>
          </w:p>
        </w:tc>
        <w:tc>
          <w:tcPr>
            <w:tcW w:w="9460" w:type="dxa"/>
            <w:vAlign w:val="bottom"/>
          </w:tcPr>
          <w:p>
            <w:pPr>
              <w:spacing w:after="0"/>
              <w:rPr>
                <w:sz w:val="20"/>
                <w:szCs w:val="20"/>
                <w:color w:val="auto"/>
              </w:rPr>
            </w:pP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won)</w:t>
            </w:r>
          </w:p>
        </w:tc>
      </w:tr>
      <w:tr>
        <w:trPr>
          <w:trHeight w:val="216"/>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payment expense recognized during the period</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(26,345)</w:t>
            </w:r>
          </w:p>
        </w:tc>
      </w:tr>
      <w:tr>
        <w:trPr>
          <w:trHeight w:val="234"/>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Share-based payment expense to be recognized in future periods</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414"/>
        </w:trPr>
        <w:tc>
          <w:tcPr>
            <w:tcW w:w="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ii.</w:t>
            </w:r>
          </w:p>
        </w:tc>
        <w:tc>
          <w:tcPr>
            <w:tcW w:w="9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Subsidiary</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560" w:type="dxa"/>
            <w:vAlign w:val="bottom"/>
          </w:tcPr>
          <w:p>
            <w:pPr>
              <w:spacing w:after="0"/>
              <w:rPr>
                <w:sz w:val="24"/>
                <w:szCs w:val="24"/>
                <w:color w:val="auto"/>
              </w:rPr>
            </w:pPr>
          </w:p>
        </w:tc>
        <w:tc>
          <w:tcPr>
            <w:tcW w:w="9460" w:type="dxa"/>
            <w:vAlign w:val="bottom"/>
          </w:tcPr>
          <w:p>
            <w:pPr>
              <w:spacing w:after="0"/>
              <w:rPr>
                <w:sz w:val="24"/>
                <w:szCs w:val="24"/>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8"/>
        </w:trPr>
        <w:tc>
          <w:tcPr>
            <w:tcW w:w="560" w:type="dxa"/>
            <w:vAlign w:val="bottom"/>
          </w:tcPr>
          <w:p>
            <w:pPr>
              <w:spacing w:after="0"/>
              <w:rPr>
                <w:sz w:val="20"/>
                <w:szCs w:val="20"/>
                <w:color w:val="auto"/>
              </w:rPr>
            </w:pPr>
          </w:p>
        </w:tc>
        <w:tc>
          <w:tcPr>
            <w:tcW w:w="946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20"/>
                <w:szCs w:val="20"/>
                <w:color w:val="auto"/>
              </w:rPr>
            </w:pPr>
          </w:p>
        </w:tc>
      </w:tr>
      <w:tr>
        <w:trPr>
          <w:trHeight w:val="187"/>
        </w:trPr>
        <w:tc>
          <w:tcPr>
            <w:tcW w:w="560" w:type="dxa"/>
            <w:vAlign w:val="bottom"/>
          </w:tcPr>
          <w:p>
            <w:pPr>
              <w:spacing w:after="0"/>
              <w:rPr>
                <w:sz w:val="16"/>
                <w:szCs w:val="16"/>
                <w:color w:val="auto"/>
              </w:rPr>
            </w:pPr>
          </w:p>
        </w:tc>
        <w:tc>
          <w:tcPr>
            <w:tcW w:w="9460" w:type="dxa"/>
            <w:vAlign w:val="bottom"/>
          </w:tcPr>
          <w:p>
            <w:pPr>
              <w:spacing w:after="0"/>
              <w:rPr>
                <w:sz w:val="16"/>
                <w:szCs w:val="16"/>
                <w:color w:val="auto"/>
              </w:rPr>
            </w:pPr>
          </w:p>
        </w:tc>
        <w:tc>
          <w:tcPr>
            <w:tcW w:w="112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8"/>
              </w:rPr>
              <w:t>(In thousands</w:t>
            </w:r>
          </w:p>
        </w:tc>
        <w:tc>
          <w:tcPr>
            <w:tcW w:w="100" w:type="dxa"/>
            <w:vAlign w:val="bottom"/>
          </w:tcPr>
          <w:p>
            <w:pPr>
              <w:spacing w:after="0"/>
              <w:rPr>
                <w:sz w:val="16"/>
                <w:szCs w:val="16"/>
                <w:color w:val="auto"/>
              </w:rPr>
            </w:pPr>
          </w:p>
        </w:tc>
      </w:tr>
      <w:tr>
        <w:trPr>
          <w:trHeight w:val="216"/>
        </w:trPr>
        <w:tc>
          <w:tcPr>
            <w:tcW w:w="560" w:type="dxa"/>
            <w:vAlign w:val="bottom"/>
          </w:tcPr>
          <w:p>
            <w:pPr>
              <w:spacing w:after="0"/>
              <w:rPr>
                <w:sz w:val="18"/>
                <w:szCs w:val="18"/>
                <w:color w:val="auto"/>
              </w:rPr>
            </w:pPr>
          </w:p>
        </w:tc>
        <w:tc>
          <w:tcPr>
            <w:tcW w:w="946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of Korean</w:t>
            </w:r>
          </w:p>
        </w:tc>
      </w:tr>
      <w:tr>
        <w:trPr>
          <w:trHeight w:val="238"/>
        </w:trPr>
        <w:tc>
          <w:tcPr>
            <w:tcW w:w="560" w:type="dxa"/>
            <w:vAlign w:val="bottom"/>
          </w:tcPr>
          <w:p>
            <w:pPr>
              <w:spacing w:after="0"/>
              <w:rPr>
                <w:sz w:val="20"/>
                <w:szCs w:val="20"/>
                <w:color w:val="auto"/>
              </w:rPr>
            </w:pPr>
          </w:p>
        </w:tc>
        <w:tc>
          <w:tcPr>
            <w:tcW w:w="9460" w:type="dxa"/>
            <w:vAlign w:val="bottom"/>
          </w:tcPr>
          <w:p>
            <w:pPr>
              <w:spacing w:after="0"/>
              <w:rPr>
                <w:sz w:val="20"/>
                <w:szCs w:val="20"/>
                <w:color w:val="auto"/>
              </w:rPr>
            </w:pP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won)</w:t>
            </w:r>
          </w:p>
        </w:tc>
      </w:tr>
      <w:tr>
        <w:trPr>
          <w:trHeight w:val="216"/>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payment expense recognized during the period</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Share-based payment expense to be recognized in future periods</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33. Earnings per Share</w:t>
      </w:r>
    </w:p>
    <w:p>
      <w:pPr>
        <w:spacing w:after="0" w:line="225" w:lineRule="exact"/>
        <w:rPr>
          <w:sz w:val="20"/>
          <w:szCs w:val="20"/>
          <w:color w:val="auto"/>
        </w:rPr>
      </w:pPr>
    </w:p>
    <w:p>
      <w:pPr>
        <w:ind w:left="340" w:hanging="332"/>
        <w:spacing w:after="0"/>
        <w:tabs>
          <w:tab w:leader="none" w:pos="340" w:val="left"/>
        </w:tabs>
        <w:numPr>
          <w:ilvl w:val="0"/>
          <w:numId w:val="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Basic Earnings per Share</w:t>
      </w:r>
    </w:p>
    <w:p>
      <w:pPr>
        <w:spacing w:after="0" w:line="229"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   Basic earnings per share attributable to owners of the parent for the year ended December 31, 2025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6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20"/>
                <w:szCs w:val="20"/>
                <w:color w:val="auto"/>
              </w:rPr>
            </w:pPr>
          </w:p>
        </w:tc>
      </w:tr>
      <w:tr>
        <w:trPr>
          <w:trHeight w:val="187"/>
        </w:trPr>
        <w:tc>
          <w:tcPr>
            <w:tcW w:w="676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146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(In thousands of</w:t>
            </w:r>
          </w:p>
        </w:tc>
        <w:tc>
          <w:tcPr>
            <w:tcW w:w="100" w:type="dxa"/>
            <w:vAlign w:val="bottom"/>
          </w:tcPr>
          <w:p>
            <w:pPr>
              <w:spacing w:after="0"/>
              <w:rPr>
                <w:sz w:val="16"/>
                <w:szCs w:val="16"/>
                <w:color w:val="auto"/>
              </w:rPr>
            </w:pPr>
          </w:p>
        </w:tc>
      </w:tr>
      <w:tr>
        <w:trPr>
          <w:trHeight w:val="216"/>
        </w:trPr>
        <w:tc>
          <w:tcPr>
            <w:tcW w:w="676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Korean won,</w:t>
            </w:r>
          </w:p>
        </w:tc>
      </w:tr>
      <w:tr>
        <w:trPr>
          <w:trHeight w:val="238"/>
        </w:trPr>
        <w:tc>
          <w:tcPr>
            <w:tcW w:w="676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shares)</w:t>
            </w:r>
          </w:p>
        </w:tc>
      </w:tr>
      <w:tr>
        <w:trPr>
          <w:trHeight w:val="216"/>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Profit attributable to owners of the parent</w:t>
            </w:r>
          </w:p>
        </w:tc>
        <w:tc>
          <w:tcPr>
            <w:tcW w:w="2920" w:type="dxa"/>
            <w:vAlign w:val="bottom"/>
            <w:shd w:val="clear" w:color="auto" w:fill="CCEEFF"/>
          </w:tcPr>
          <w:p>
            <w:pPr>
              <w:ind w:left="264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794,130</w:t>
            </w: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number of ordinary shares outstanding</w:t>
            </w:r>
          </w:p>
        </w:tc>
        <w:tc>
          <w:tcPr>
            <w:tcW w:w="292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13,662,476 Shares</w:t>
            </w:r>
          </w:p>
        </w:tc>
      </w:tr>
      <w:tr>
        <w:trPr>
          <w:trHeight w:val="216"/>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earnings per share</w:t>
            </w:r>
          </w:p>
        </w:tc>
        <w:tc>
          <w:tcPr>
            <w:tcW w:w="29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KRW 58</w:t>
            </w:r>
          </w:p>
        </w:tc>
      </w:tr>
    </w:tbl>
    <w:p>
      <w:pPr>
        <w:spacing w:after="0" w:line="198" w:lineRule="exact"/>
        <w:rPr>
          <w:sz w:val="20"/>
          <w:szCs w:val="20"/>
          <w:color w:val="auto"/>
        </w:rPr>
      </w:pPr>
    </w:p>
    <w:p>
      <w:pPr>
        <w:ind w:left="660" w:hanging="328"/>
        <w:spacing w:after="0" w:line="282" w:lineRule="auto"/>
        <w:tabs>
          <w:tab w:leader="none" w:pos="6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weighted average number of ordinary shares outstanding is calculated by weighting the number of ordinary shares issued by the period of time they were outstanding. Details for the year ended December 31, 2025 are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2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Weighted</w:t>
            </w:r>
          </w:p>
        </w:tc>
      </w:tr>
      <w:tr>
        <w:trPr>
          <w:trHeight w:val="216"/>
        </w:trPr>
        <w:tc>
          <w:tcPr>
            <w:tcW w:w="282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shares</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average</w:t>
            </w:r>
          </w:p>
        </w:tc>
      </w:tr>
      <w:tr>
        <w:trPr>
          <w:trHeight w:val="216"/>
        </w:trPr>
        <w:tc>
          <w:tcPr>
            <w:tcW w:w="282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number of</w:t>
            </w:r>
          </w:p>
        </w:tc>
      </w:tr>
      <w:tr>
        <w:trPr>
          <w:trHeight w:val="238"/>
        </w:trPr>
        <w:tc>
          <w:tcPr>
            <w:tcW w:w="73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200" w:type="dxa"/>
            <w:vAlign w:val="bottom"/>
          </w:tcPr>
          <w:p>
            <w:pPr>
              <w:spacing w:after="0"/>
              <w:rPr>
                <w:sz w:val="20"/>
                <w:szCs w:val="20"/>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Days</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shares</w:t>
            </w:r>
          </w:p>
        </w:tc>
      </w:tr>
      <w:tr>
        <w:trPr>
          <w:trHeight w:val="209"/>
        </w:trPr>
        <w:tc>
          <w:tcPr>
            <w:tcW w:w="726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Jan 1, 2025 ~ Dec 31, 2025</w:t>
            </w:r>
          </w:p>
        </w:tc>
        <w:tc>
          <w:tcPr>
            <w:tcW w:w="1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13,662,476</w:t>
            </w:r>
          </w:p>
        </w:tc>
        <w:tc>
          <w:tcPr>
            <w:tcW w:w="2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365</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13,662,476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360" w:type="dxa"/>
            <w:vAlign w:val="bottom"/>
            <w:gridSpan w:val="3"/>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8"/>
        </w:trPr>
        <w:tc>
          <w:tcPr>
            <w:tcW w:w="28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 Treasury shares of 217,045 shares</w:t>
            </w:r>
          </w:p>
        </w:tc>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are excluded.</w:t>
            </w: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27"/>
        </w:trPr>
        <w:tc>
          <w:tcPr>
            <w:tcW w:w="73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B.  Diluted Earnings per Share</w:t>
            </w: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Diluted earnings per share is calculated by adjusting the weighted average number of ordinary shares outstanding assuming conversion of all dilutive potential ordinary shares. The Group’s dilutive potential ordinary shares consist of share options. The number of shares is calculated based on the fair value (average market price during the period) of shares that could have been acquired using the proceeds from the exercise of the options, and compared with the number of shares that would be issued upon exercise.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the share options held by the Group do not have a dilutive effect, basic earnings per share and diluted earnings per share are the same.</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50" w:name="page51"/>
    <w:bookmarkEnd w:id="50"/>
    <w:p>
      <w:pPr>
        <w:jc w:val="center"/>
        <w:spacing w:after="0"/>
        <w:rPr>
          <w:sz w:val="20"/>
          <w:szCs w:val="20"/>
          <w:color w:val="auto"/>
        </w:rPr>
      </w:pPr>
      <w:r>
        <w:rPr>
          <w:rFonts w:ascii="Times New Roman" w:cs="Times New Roman" w:eastAsia="Times New Roman" w:hAnsi="Times New Roman"/>
          <w:sz w:val="18"/>
          <w:szCs w:val="18"/>
          <w:b w:val="1"/>
          <w:bCs w:val="1"/>
          <w:color w:val="auto"/>
        </w:rPr>
        <w:t>HANSOL INTICUBE CO.,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34. Financial Instruments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Financial assets and liabilities by category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Carrying amounts of financial assets and financial liabilities by category as of December 31, 2025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4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December 31, 2025</w:t>
            </w:r>
          </w:p>
        </w:tc>
        <w:tc>
          <w:tcPr>
            <w:tcW w:w="11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544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gridSpan w:val="2"/>
          </w:tcPr>
          <w:p>
            <w:pPr>
              <w:jc w:val="center"/>
              <w:ind w:right="200"/>
              <w:spacing w:after="0" w:line="188" w:lineRule="exact"/>
              <w:rPr>
                <w:sz w:val="20"/>
                <w:szCs w:val="20"/>
                <w:color w:val="auto"/>
              </w:rPr>
            </w:pPr>
            <w:r>
              <w:rPr>
                <w:rFonts w:ascii="Times New Roman" w:cs="Times New Roman" w:eastAsia="Times New Roman" w:hAnsi="Times New Roman"/>
                <w:sz w:val="18"/>
                <w:szCs w:val="18"/>
                <w:b w:val="1"/>
                <w:bCs w:val="1"/>
                <w:color w:val="auto"/>
                <w:w w:val="99"/>
              </w:rPr>
              <w:t>Financial</w:t>
            </w: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4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assets at</w:t>
            </w: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Amortized</w:t>
            </w:r>
          </w:p>
        </w:tc>
        <w:tc>
          <w:tcPr>
            <w:tcW w:w="20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through</w:t>
            </w: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44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1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Cost</w:t>
            </w:r>
          </w:p>
        </w:tc>
        <w:tc>
          <w:tcPr>
            <w:tcW w:w="200" w:type="dxa"/>
            <w:vAlign w:val="bottom"/>
          </w:tcPr>
          <w:p>
            <w:pPr>
              <w:spacing w:after="0"/>
              <w:rPr>
                <w:sz w:val="20"/>
                <w:szCs w:val="20"/>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profit or loss</w:t>
            </w:r>
          </w:p>
        </w:tc>
        <w:tc>
          <w:tcPr>
            <w:tcW w:w="1220" w:type="dxa"/>
            <w:vAlign w:val="bottom"/>
            <w:gridSpan w:val="3"/>
          </w:tcPr>
          <w:p>
            <w:pPr>
              <w:ind w:left="3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09"/>
        </w:trPr>
        <w:tc>
          <w:tcPr>
            <w:tcW w:w="54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760" w:type="dxa"/>
            <w:vAlign w:val="bottom"/>
            <w:tcBorders>
              <w:top w:val="single" w:sz="8" w:color="auto"/>
            </w:tcBorders>
            <w:gridSpan w:val="6"/>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 thousands of Korean won)</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assets</w:t>
            </w:r>
          </w:p>
        </w:tc>
        <w:tc>
          <w:tcPr>
            <w:tcW w:w="1940" w:type="dxa"/>
            <w:vAlign w:val="bottom"/>
            <w:shd w:val="clear" w:color="auto" w:fill="CCEEFF"/>
          </w:tcPr>
          <w:p>
            <w:pPr>
              <w:ind w:left="16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94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2,295,359</w:t>
            </w:r>
          </w:p>
        </w:tc>
        <w:tc>
          <w:tcPr>
            <w:tcW w:w="15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2,295,359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Short-term financial instruments</w:t>
            </w:r>
          </w:p>
        </w:tc>
        <w:tc>
          <w:tcPr>
            <w:tcW w:w="19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5,837</w:t>
            </w:r>
          </w:p>
        </w:tc>
        <w:tc>
          <w:tcPr>
            <w:tcW w:w="15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5,837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Trade and other receivables</w:t>
            </w:r>
          </w:p>
        </w:tc>
        <w:tc>
          <w:tcPr>
            <w:tcW w:w="194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11,294,244</w:t>
            </w:r>
          </w:p>
        </w:tc>
        <w:tc>
          <w:tcPr>
            <w:tcW w:w="15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11,294,244</w:t>
            </w: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other receivables</w:t>
            </w:r>
          </w:p>
        </w:tc>
        <w:tc>
          <w:tcPr>
            <w:tcW w:w="19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595,593</w:t>
            </w:r>
          </w:p>
        </w:tc>
        <w:tc>
          <w:tcPr>
            <w:tcW w:w="15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595,593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Financial assets at fair value through profit or loss</w:t>
            </w:r>
          </w:p>
        </w:tc>
        <w:tc>
          <w:tcPr>
            <w:tcW w:w="194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1,005,980</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1,005,980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40" w:type="dxa"/>
            <w:vAlign w:val="bottom"/>
            <w:tcBorders>
              <w:top w:val="single" w:sz="8" w:color="CCEEFF"/>
              <w:bottom w:val="single" w:sz="8" w:color="CCEEFF"/>
            </w:tcBorders>
            <w:shd w:val="clear" w:color="auto" w:fill="CCEEFF"/>
          </w:tcPr>
          <w:p>
            <w:pPr>
              <w:ind w:left="3300"/>
              <w:spacing w:after="0"/>
              <w:rPr>
                <w:sz w:val="20"/>
                <w:szCs w:val="20"/>
                <w:color w:val="auto"/>
              </w:rPr>
            </w:pPr>
            <w:r>
              <w:rPr>
                <w:rFonts w:ascii="Times New Roman" w:cs="Times New Roman" w:eastAsia="Times New Roman" w:hAnsi="Times New Roman"/>
                <w:sz w:val="18"/>
                <w:szCs w:val="18"/>
                <w:color w:val="auto"/>
              </w:rPr>
              <w:t>Total</w:t>
            </w:r>
          </w:p>
        </w:tc>
        <w:tc>
          <w:tcPr>
            <w:tcW w:w="1940" w:type="dxa"/>
            <w:vAlign w:val="bottom"/>
            <w:tcBorders>
              <w:top w:val="single" w:sz="8" w:color="CCEEFF"/>
              <w:bottom w:val="single" w:sz="8" w:color="CCEEFF"/>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14,191,033</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1,005,980</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15,197,013</w:t>
            </w:r>
          </w:p>
        </w:tc>
        <w:tc>
          <w:tcPr>
            <w:tcW w:w="10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Financial liabilities</w:t>
            </w:r>
          </w:p>
        </w:tc>
        <w:tc>
          <w:tcPr>
            <w:tcW w:w="19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440" w:type="dxa"/>
            <w:vAlign w:val="bottom"/>
            <w:vMerge w:val="continue"/>
          </w:tcPr>
          <w:p>
            <w:pPr>
              <w:spacing w:after="0"/>
              <w:rPr>
                <w:sz w:val="16"/>
                <w:szCs w:val="16"/>
                <w:color w:val="auto"/>
              </w:rPr>
            </w:pPr>
          </w:p>
        </w:tc>
        <w:tc>
          <w:tcPr>
            <w:tcW w:w="19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5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Trade and other payables</w:t>
            </w:r>
          </w:p>
        </w:tc>
        <w:tc>
          <w:tcPr>
            <w:tcW w:w="19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7,878,676</w:t>
            </w:r>
          </w:p>
        </w:tc>
        <w:tc>
          <w:tcPr>
            <w:tcW w:w="15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7,878,676</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440" w:type="dxa"/>
            <w:vAlign w:val="bottom"/>
          </w:tcPr>
          <w:p>
            <w:pPr>
              <w:ind w:left="3300"/>
              <w:spacing w:after="0"/>
              <w:rPr>
                <w:sz w:val="20"/>
                <w:szCs w:val="20"/>
                <w:color w:val="auto"/>
              </w:rPr>
            </w:pPr>
            <w:r>
              <w:rPr>
                <w:rFonts w:ascii="Times New Roman" w:cs="Times New Roman" w:eastAsia="Times New Roman" w:hAnsi="Times New Roman"/>
                <w:sz w:val="18"/>
                <w:szCs w:val="18"/>
                <w:color w:val="auto"/>
              </w:rPr>
              <w:t>Total</w:t>
            </w:r>
          </w:p>
        </w:tc>
        <w:tc>
          <w:tcPr>
            <w:tcW w:w="1940" w:type="dxa"/>
            <w:vAlign w:val="bottom"/>
          </w:tcPr>
          <w:p>
            <w:pPr>
              <w:ind w:left="166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7,878,676</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7,878,676</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340" w:hanging="332"/>
        <w:spacing w:after="0"/>
        <w:tabs>
          <w:tab w:leader="none" w:pos="340" w:val="left"/>
        </w:tabs>
        <w:numPr>
          <w:ilvl w:val="0"/>
          <w:numId w:val="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of financial instruments</w:t>
      </w:r>
    </w:p>
    <w:p>
      <w:pPr>
        <w:spacing w:after="0" w:line="229" w:lineRule="exact"/>
        <w:rPr>
          <w:rFonts w:ascii="Times New Roman" w:cs="Times New Roman" w:eastAsia="Times New Roman" w:hAnsi="Times New Roman"/>
          <w:sz w:val="18"/>
          <w:szCs w:val="18"/>
          <w:b w:val="1"/>
          <w:bCs w:val="1"/>
          <w:color w:val="auto"/>
        </w:rPr>
      </w:pPr>
    </w:p>
    <w:p>
      <w:pPr>
        <w:ind w:left="660" w:hanging="328"/>
        <w:spacing w:after="0" w:line="282" w:lineRule="auto"/>
        <w:tabs>
          <w:tab w:leader="none" w:pos="66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considers that the carrying amounts of financial assets and financial liabilities measured at amortized cost approximate their fair values.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 value hierarchy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 hierarchy categorizes inputs used in valuation techniques into three levels: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1) Quoted prices (unadjusted) in active markets for identical assets or liabilities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2) Inputs other than quoted prices included within Level 1 that are observable for the asset or liability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3) Unobservable inputs for the asset or liability</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iii.  Fair value hierarchy of financial instruments measured at fair value as of December 31, 2025 is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4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44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3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14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9"/>
        </w:trPr>
        <w:tc>
          <w:tcPr>
            <w:tcW w:w="45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800" w:type="dxa"/>
            <w:vAlign w:val="bottom"/>
            <w:tcBorders>
              <w:top w:val="single" w:sz="8" w:color="auto"/>
            </w:tcBorders>
            <w:gridSpan w:val="2"/>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(In thousands of Korean won)</w:t>
            </w: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assets at fair value through profit or loss</w:t>
            </w:r>
          </w:p>
        </w:tc>
        <w:tc>
          <w:tcPr>
            <w:tcW w:w="1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625,980</w:t>
            </w:r>
          </w:p>
        </w:tc>
        <w:tc>
          <w:tcPr>
            <w:tcW w:w="13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380,000</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1,005,980</w:t>
            </w:r>
          </w:p>
        </w:tc>
      </w:tr>
      <w:tr>
        <w:trPr>
          <w:trHeight w:val="560"/>
        </w:trPr>
        <w:tc>
          <w:tcPr>
            <w:tcW w:w="45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48</w:t>
            </w:r>
          </w:p>
        </w:tc>
        <w:tc>
          <w:tcPr>
            <w:tcW w:w="12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65" w:right="339" w:bottom="1440" w:gutter="0" w:footer="0" w:header="0"/>
        </w:sectPr>
      </w:pPr>
    </w:p>
    <w:bookmarkStart w:id="51" w:name="page52"/>
    <w:bookmarkEnd w:id="51"/>
    <w:p>
      <w:pPr>
        <w:jc w:val="center"/>
        <w:spacing w:after="0"/>
        <w:rPr>
          <w:sz w:val="20"/>
          <w:szCs w:val="20"/>
          <w:color w:val="auto"/>
        </w:rPr>
      </w:pPr>
      <w:r>
        <w:rPr>
          <w:rFonts w:ascii="Times New Roman" w:cs="Times New Roman" w:eastAsia="Times New Roman" w:hAnsi="Times New Roman"/>
          <w:sz w:val="18"/>
          <w:szCs w:val="18"/>
          <w:b w:val="1"/>
          <w:bCs w:val="1"/>
          <w:color w:val="auto"/>
        </w:rPr>
        <w:t>HANSOL INTICUBE CO.,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7" w:lineRule="exact"/>
        <w:rPr>
          <w:sz w:val="20"/>
          <w:szCs w:val="20"/>
          <w:color w:val="auto"/>
        </w:rPr>
      </w:pPr>
    </w:p>
    <w:p>
      <w:pPr>
        <w:ind w:left="660" w:hanging="328"/>
        <w:spacing w:after="0"/>
        <w:tabs>
          <w:tab w:leader="none" w:pos="66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between levels are recognized at the date of the event or change in circumstances that caused the transfer.</w:t>
      </w:r>
    </w:p>
    <w:p>
      <w:pPr>
        <w:spacing w:after="0" w:line="22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  Financial assets classified as Level 3</w:t>
      </w:r>
    </w:p>
    <w:p>
      <w:pPr>
        <w:spacing w:after="0" w:line="22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Valuation techniques and significant unobservable inputs are as follows:</w:t>
      </w:r>
    </w:p>
    <w:p>
      <w:pPr>
        <w:spacing w:after="0" w:line="221" w:lineRule="exact"/>
        <w:rPr>
          <w:sz w:val="20"/>
          <w:szCs w:val="20"/>
          <w:color w:val="auto"/>
        </w:rPr>
      </w:pPr>
    </w:p>
    <w:p>
      <w:pPr>
        <w:ind w:left="8880"/>
        <w:spacing w:after="0"/>
        <w:rPr>
          <w:sz w:val="20"/>
          <w:szCs w:val="20"/>
          <w:color w:val="auto"/>
        </w:rPr>
      </w:pPr>
      <w:r>
        <w:rPr>
          <w:rFonts w:ascii="Times New Roman" w:cs="Times New Roman" w:eastAsia="Times New Roman" w:hAnsi="Times New Roman"/>
          <w:sz w:val="18"/>
          <w:szCs w:val="18"/>
          <w:b w:val="1"/>
          <w:bCs w:val="1"/>
          <w:color w:val="auto"/>
        </w:rPr>
        <w:t>Valuation</w:t>
      </w:r>
    </w:p>
    <w:p>
      <w:pPr>
        <w:spacing w:after="0" w:line="31" w:lineRule="exact"/>
        <w:rPr>
          <w:sz w:val="20"/>
          <w:szCs w:val="20"/>
          <w:color w:val="auto"/>
        </w:rPr>
      </w:pPr>
    </w:p>
    <w:p>
      <w:pPr>
        <w:ind w:left="7520"/>
        <w:spacing w:after="0"/>
        <w:tabs>
          <w:tab w:leader="none" w:pos="8840" w:val="left"/>
          <w:tab w:leader="none" w:pos="10300" w:val="left"/>
        </w:tabs>
        <w:rPr>
          <w:sz w:val="20"/>
          <w:szCs w:val="20"/>
          <w:color w:val="auto"/>
        </w:rPr>
      </w:pPr>
      <w:r>
        <w:rPr>
          <w:rFonts w:ascii="Times New Roman" w:cs="Times New Roman" w:eastAsia="Times New Roman" w:hAnsi="Times New Roman"/>
          <w:sz w:val="18"/>
          <w:szCs w:val="18"/>
          <w:b w:val="1"/>
          <w:bCs w:val="1"/>
          <w:color w:val="auto"/>
        </w:rPr>
        <w:t>Fair Value</w:t>
      </w:r>
      <w:r>
        <w:rPr>
          <w:sz w:val="20"/>
          <w:szCs w:val="20"/>
          <w:color w:val="auto"/>
        </w:rPr>
        <w:tab/>
      </w:r>
      <w:r>
        <w:rPr>
          <w:rFonts w:ascii="Times New Roman" w:cs="Times New Roman" w:eastAsia="Times New Roman" w:hAnsi="Times New Roman"/>
          <w:sz w:val="18"/>
          <w:szCs w:val="18"/>
          <w:b w:val="1"/>
          <w:bCs w:val="1"/>
          <w:color w:val="auto"/>
        </w:rPr>
        <w:t>Technique</w:t>
      </w:r>
      <w:r>
        <w:rPr>
          <w:sz w:val="20"/>
          <w:szCs w:val="20"/>
          <w:color w:val="auto"/>
        </w:rPr>
        <w:tab/>
      </w:r>
      <w:r>
        <w:rPr>
          <w:rFonts w:ascii="Times New Roman" w:cs="Times New Roman" w:eastAsia="Times New Roman" w:hAnsi="Times New Roman"/>
          <w:sz w:val="17"/>
          <w:szCs w:val="17"/>
          <w:b w:val="1"/>
          <w:bCs w:val="1"/>
          <w:color w:val="auto"/>
        </w:rPr>
        <w:t>Inputs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4676775</wp:posOffset>
            </wp:positionH>
            <wp:positionV relativeFrom="paragraph">
              <wp:posOffset>5715</wp:posOffset>
            </wp:positionV>
            <wp:extent cx="239141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391410" cy="8255"/>
                    </a:xfrm>
                    <a:prstGeom prst="rect">
                      <a:avLst/>
                    </a:prstGeom>
                    <a:noFill/>
                  </pic:spPr>
                </pic:pic>
              </a:graphicData>
            </a:graphic>
          </wp:anchor>
        </w:drawing>
      </w:r>
    </w:p>
    <w:p>
      <w:pPr>
        <w:ind w:left="8100"/>
        <w:spacing w:after="0"/>
        <w:rPr>
          <w:sz w:val="20"/>
          <w:szCs w:val="20"/>
          <w:color w:val="auto"/>
        </w:rPr>
      </w:pPr>
      <w:r>
        <w:rPr>
          <w:rFonts w:ascii="Times New Roman" w:cs="Times New Roman" w:eastAsia="Times New Roman" w:hAnsi="Times New Roman"/>
          <w:sz w:val="18"/>
          <w:szCs w:val="18"/>
          <w:b w:val="1"/>
          <w:bCs w:val="1"/>
          <w:color w:val="auto"/>
        </w:rPr>
        <w:t>(In thousands of Korean won)</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assets at fair value through profit or loss</w:t>
            </w:r>
          </w:p>
        </w:tc>
        <w:tc>
          <w:tcPr>
            <w:tcW w:w="114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Dandi Hamo Startup Investment Fund No. 1</w:t>
            </w: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300,000</w:t>
            </w:r>
          </w:p>
        </w:tc>
        <w:tc>
          <w:tcPr>
            <w:tcW w:w="1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Cost approach</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Busan Regional Innovation TIPS Fund No. 1</w:t>
            </w:r>
          </w:p>
        </w:tc>
        <w:tc>
          <w:tcPr>
            <w:tcW w:w="11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80,000</w:t>
            </w:r>
          </w:p>
        </w:tc>
        <w:tc>
          <w:tcPr>
            <w:tcW w:w="1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Cost approach</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432"/>
        </w:trPr>
        <w:tc>
          <w:tcPr>
            <w:tcW w:w="7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ii.  Changes in Level 3 financial assets for the year ended December 31, 2025 are as follows:</w:t>
            </w:r>
          </w:p>
        </w:tc>
        <w:tc>
          <w:tcPr>
            <w:tcW w:w="1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74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Financial</w:t>
            </w:r>
          </w:p>
        </w:tc>
      </w:tr>
      <w:tr>
        <w:trPr>
          <w:trHeight w:val="216"/>
        </w:trPr>
        <w:tc>
          <w:tcPr>
            <w:tcW w:w="74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assets at</w:t>
            </w:r>
          </w:p>
        </w:tc>
      </w:tr>
      <w:tr>
        <w:trPr>
          <w:trHeight w:val="216"/>
        </w:trPr>
        <w:tc>
          <w:tcPr>
            <w:tcW w:w="74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fair value</w:t>
            </w:r>
          </w:p>
        </w:tc>
      </w:tr>
      <w:tr>
        <w:trPr>
          <w:trHeight w:val="216"/>
        </w:trPr>
        <w:tc>
          <w:tcPr>
            <w:tcW w:w="74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through</w:t>
            </w:r>
          </w:p>
        </w:tc>
      </w:tr>
      <w:tr>
        <w:trPr>
          <w:trHeight w:val="238"/>
        </w:trPr>
        <w:tc>
          <w:tcPr>
            <w:tcW w:w="74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profit or loss</w:t>
            </w:r>
          </w:p>
        </w:tc>
      </w:tr>
      <w:tr>
        <w:trPr>
          <w:trHeight w:val="187"/>
        </w:trPr>
        <w:tc>
          <w:tcPr>
            <w:tcW w:w="74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12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8"/>
              </w:rPr>
              <w:t>(In thousands</w:t>
            </w:r>
          </w:p>
        </w:tc>
        <w:tc>
          <w:tcPr>
            <w:tcW w:w="100" w:type="dxa"/>
            <w:vAlign w:val="bottom"/>
          </w:tcPr>
          <w:p>
            <w:pPr>
              <w:spacing w:after="0"/>
              <w:rPr>
                <w:sz w:val="16"/>
                <w:szCs w:val="16"/>
                <w:color w:val="auto"/>
              </w:rPr>
            </w:pPr>
          </w:p>
        </w:tc>
      </w:tr>
      <w:tr>
        <w:trPr>
          <w:trHeight w:val="216"/>
        </w:trPr>
        <w:tc>
          <w:tcPr>
            <w:tcW w:w="74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of Korean</w:t>
            </w:r>
          </w:p>
        </w:tc>
      </w:tr>
      <w:tr>
        <w:trPr>
          <w:trHeight w:val="238"/>
        </w:trPr>
        <w:tc>
          <w:tcPr>
            <w:tcW w:w="74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won)</w:t>
            </w:r>
          </w:p>
        </w:tc>
      </w:tr>
      <w:tr>
        <w:trPr>
          <w:trHeight w:val="216"/>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1140" w:type="dxa"/>
            <w:vAlign w:val="bottom"/>
            <w:shd w:val="clear" w:color="auto" w:fill="CCEEFF"/>
          </w:tcPr>
          <w:p>
            <w:pPr>
              <w:spacing w:after="0"/>
              <w:rPr>
                <w:sz w:val="18"/>
                <w:szCs w:val="18"/>
                <w:color w:val="auto"/>
              </w:rPr>
            </w:pPr>
          </w:p>
        </w:tc>
        <w:tc>
          <w:tcPr>
            <w:tcW w:w="140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300,000</w:t>
            </w:r>
          </w:p>
        </w:tc>
      </w:tr>
      <w:tr>
        <w:trPr>
          <w:trHeight w:val="216"/>
        </w:trPr>
        <w:tc>
          <w:tcPr>
            <w:tcW w:w="7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Additions</w:t>
            </w:r>
          </w:p>
        </w:tc>
        <w:tc>
          <w:tcPr>
            <w:tcW w:w="1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80,000</w:t>
            </w:r>
          </w:p>
        </w:tc>
      </w:tr>
      <w:tr>
        <w:trPr>
          <w:trHeight w:val="216"/>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1140" w:type="dxa"/>
            <w:vAlign w:val="bottom"/>
            <w:shd w:val="clear" w:color="auto" w:fill="CCEEFF"/>
          </w:tcPr>
          <w:p>
            <w:pPr>
              <w:spacing w:after="0"/>
              <w:rPr>
                <w:sz w:val="18"/>
                <w:szCs w:val="18"/>
                <w:color w:val="auto"/>
              </w:rPr>
            </w:pPr>
          </w:p>
        </w:tc>
        <w:tc>
          <w:tcPr>
            <w:tcW w:w="140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380,000</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Net gains or losses by category of financial instruments for the year ended December 31, 2025 are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6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1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396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460" w:type="dxa"/>
            <w:vAlign w:val="bottom"/>
          </w:tcPr>
          <w:p>
            <w:pPr>
              <w:jc w:val="center"/>
              <w:ind w:right="170"/>
              <w:spacing w:after="0" w:line="188" w:lineRule="exact"/>
              <w:rPr>
                <w:sz w:val="20"/>
                <w:szCs w:val="20"/>
                <w:color w:val="auto"/>
              </w:rPr>
            </w:pPr>
            <w:r>
              <w:rPr>
                <w:rFonts w:ascii="Times New Roman" w:cs="Times New Roman" w:eastAsia="Times New Roman" w:hAnsi="Times New Roman"/>
                <w:sz w:val="18"/>
                <w:szCs w:val="18"/>
                <w:b w:val="1"/>
                <w:bCs w:val="1"/>
                <w:color w:val="auto"/>
                <w:w w:val="99"/>
              </w:rPr>
              <w:t>Financial</w:t>
            </w:r>
          </w:p>
        </w:tc>
        <w:tc>
          <w:tcPr>
            <w:tcW w:w="1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39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28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Financial</w:t>
            </w:r>
          </w:p>
        </w:tc>
        <w:tc>
          <w:tcPr>
            <w:tcW w:w="146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assets at</w:t>
            </w:r>
          </w:p>
        </w:tc>
        <w:tc>
          <w:tcPr>
            <w:tcW w:w="1320" w:type="dxa"/>
            <w:vAlign w:val="bottom"/>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w w:val="99"/>
              </w:rPr>
              <w:t>Financial</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28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7"/>
              </w:rPr>
              <w:t>assets at</w:t>
            </w:r>
          </w:p>
        </w:tc>
        <w:tc>
          <w:tcPr>
            <w:tcW w:w="146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320" w:type="dxa"/>
            <w:vAlign w:val="bottom"/>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rPr>
              <w:t>liabilities at</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28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amortized</w:t>
            </w:r>
          </w:p>
        </w:tc>
        <w:tc>
          <w:tcPr>
            <w:tcW w:w="146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through</w:t>
            </w:r>
          </w:p>
        </w:tc>
        <w:tc>
          <w:tcPr>
            <w:tcW w:w="1320" w:type="dxa"/>
            <w:vAlign w:val="bottom"/>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9"/>
              </w:rPr>
              <w:t>amortized</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396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28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cost</w:t>
            </w:r>
          </w:p>
        </w:tc>
        <w:tc>
          <w:tcPr>
            <w:tcW w:w="146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profit or loss</w:t>
            </w:r>
          </w:p>
        </w:tc>
        <w:tc>
          <w:tcPr>
            <w:tcW w:w="1320" w:type="dxa"/>
            <w:vAlign w:val="bottom"/>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9"/>
              </w:rPr>
              <w:t>cost</w:t>
            </w:r>
          </w:p>
        </w:tc>
        <w:tc>
          <w:tcPr>
            <w:tcW w:w="11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39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780" w:type="dxa"/>
            <w:vAlign w:val="bottom"/>
            <w:tcBorders>
              <w:top w:val="single" w:sz="8" w:color="auto"/>
            </w:tcBorders>
            <w:gridSpan w:val="2"/>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(In thousands of Korean won)</w:t>
            </w: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100" w:type="dxa"/>
            <w:vAlign w:val="bottom"/>
            <w:shd w:val="clear" w:color="auto" w:fill="CCEEFF"/>
          </w:tcPr>
          <w:p>
            <w:pPr>
              <w:ind w:left="182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87,437</w:t>
            </w:r>
          </w:p>
        </w:tc>
        <w:tc>
          <w:tcPr>
            <w:tcW w:w="146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87,437</w:t>
            </w:r>
          </w:p>
        </w:tc>
      </w:tr>
      <w:tr>
        <w:trPr>
          <w:trHeight w:val="216"/>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Foreign exchange gain</w:t>
            </w:r>
          </w:p>
        </w:tc>
        <w:tc>
          <w:tcPr>
            <w:tcW w:w="2100" w:type="dxa"/>
            <w:vAlign w:val="bottom"/>
          </w:tcPr>
          <w:p>
            <w:pPr>
              <w:spacing w:after="0"/>
              <w:rPr>
                <w:sz w:val="18"/>
                <w:szCs w:val="18"/>
                <w:color w:val="auto"/>
              </w:rPr>
            </w:pPr>
          </w:p>
        </w:tc>
        <w:tc>
          <w:tcPr>
            <w:tcW w:w="1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406</w:t>
            </w:r>
          </w:p>
        </w:tc>
        <w:tc>
          <w:tcPr>
            <w:tcW w:w="14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104,595</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105,001</w:t>
            </w:r>
          </w:p>
        </w:tc>
      </w:tr>
      <w:tr>
        <w:trPr>
          <w:trHeight w:val="216"/>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 gain</w:t>
            </w:r>
          </w:p>
        </w:tc>
        <w:tc>
          <w:tcPr>
            <w:tcW w:w="2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5,468</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5,468</w:t>
            </w:r>
          </w:p>
        </w:tc>
      </w:tr>
      <w:tr>
        <w:trPr>
          <w:trHeight w:val="216"/>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Gain on valuation of FVTPL</w:t>
            </w:r>
          </w:p>
        </w:tc>
        <w:tc>
          <w:tcPr>
            <w:tcW w:w="2100" w:type="dxa"/>
            <w:vAlign w:val="bottom"/>
          </w:tcPr>
          <w:p>
            <w:pPr>
              <w:spacing w:after="0"/>
              <w:rPr>
                <w:sz w:val="18"/>
                <w:szCs w:val="18"/>
                <w:color w:val="auto"/>
              </w:rPr>
            </w:pPr>
          </w:p>
        </w:tc>
        <w:tc>
          <w:tcPr>
            <w:tcW w:w="1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19,795</w:t>
            </w:r>
          </w:p>
        </w:tc>
        <w:tc>
          <w:tcPr>
            <w:tcW w:w="13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19,795</w:t>
            </w:r>
          </w:p>
        </w:tc>
      </w:tr>
      <w:tr>
        <w:trPr>
          <w:trHeight w:val="216"/>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(53,000)</w:t>
            </w: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(53,000)</w:t>
            </w:r>
          </w:p>
        </w:tc>
      </w:tr>
      <w:tr>
        <w:trPr>
          <w:trHeight w:val="216"/>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Foreign exchange loss</w:t>
            </w:r>
          </w:p>
        </w:tc>
        <w:tc>
          <w:tcPr>
            <w:tcW w:w="210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(644)</w:t>
            </w:r>
          </w:p>
        </w:tc>
        <w:tc>
          <w:tcPr>
            <w:tcW w:w="14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(99,362)</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(100,006)</w:t>
            </w:r>
          </w:p>
        </w:tc>
      </w:tr>
      <w:tr>
        <w:trPr>
          <w:trHeight w:val="216"/>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 loss</w:t>
            </w:r>
          </w:p>
        </w:tc>
        <w:tc>
          <w:tcPr>
            <w:tcW w:w="2100" w:type="dxa"/>
            <w:vAlign w:val="bottom"/>
            <w:shd w:val="clear" w:color="auto" w:fill="CCEEFF"/>
          </w:tcPr>
          <w:p>
            <w:pPr>
              <w:ind w:left="182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(2,913)</w:t>
            </w: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(2,913)</w:t>
            </w:r>
          </w:p>
        </w:tc>
      </w:tr>
      <w:tr>
        <w:trPr>
          <w:trHeight w:val="560"/>
        </w:trPr>
        <w:tc>
          <w:tcPr>
            <w:tcW w:w="396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49</w:t>
            </w:r>
          </w:p>
        </w:tc>
        <w:tc>
          <w:tcPr>
            <w:tcW w:w="12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65" w:right="339" w:bottom="1440" w:gutter="0" w:footer="0" w:header="0"/>
        </w:sectPr>
      </w:pPr>
    </w:p>
    <w:bookmarkStart w:id="52" w:name="page53"/>
    <w:bookmarkEnd w:id="52"/>
    <w:p>
      <w:pPr>
        <w:jc w:val="center"/>
        <w:spacing w:after="0"/>
        <w:rPr>
          <w:sz w:val="20"/>
          <w:szCs w:val="20"/>
          <w:color w:val="auto"/>
        </w:rPr>
      </w:pPr>
      <w:r>
        <w:rPr>
          <w:rFonts w:ascii="Times New Roman" w:cs="Times New Roman" w:eastAsia="Times New Roman" w:hAnsi="Times New Roman"/>
          <w:sz w:val="18"/>
          <w:szCs w:val="18"/>
          <w:b w:val="1"/>
          <w:bCs w:val="1"/>
          <w:color w:val="auto"/>
        </w:rPr>
        <w:t>HANSOL INTICUBE CO.,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E.</w:t>
      </w:r>
      <w:r>
        <w:rPr>
          <w:sz w:val="20"/>
          <w:szCs w:val="20"/>
          <w:color w:val="auto"/>
        </w:rPr>
        <w:tab/>
      </w:r>
      <w:r>
        <w:rPr>
          <w:rFonts w:ascii="Times New Roman" w:cs="Times New Roman" w:eastAsia="Times New Roman" w:hAnsi="Times New Roman"/>
          <w:sz w:val="17"/>
          <w:szCs w:val="17"/>
          <w:b w:val="1"/>
          <w:bCs w:val="1"/>
          <w:color w:val="auto"/>
        </w:rPr>
        <w:t>Risk Management</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Risk management is carried out under policies approved by the Board of Directors, with the finance department responsible for identifying, evaluating, and managing financial risks in close cooperation with operating departments.</w:t>
      </w:r>
    </w:p>
    <w:p>
      <w:pPr>
        <w:spacing w:after="0" w:line="162" w:lineRule="exact"/>
        <w:rPr>
          <w:sz w:val="20"/>
          <w:szCs w:val="20"/>
          <w:color w:val="auto"/>
        </w:rPr>
      </w:pPr>
    </w:p>
    <w:p>
      <w:pPr>
        <w:ind w:left="660" w:hanging="328"/>
        <w:spacing w:after="0"/>
        <w:tabs>
          <w:tab w:leader="none" w:pos="6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risk management</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Group manages its capital to ensure that it can continue as a going concern while maximizing returns to shareholders. The capital structure consists of debt and equity, and the debt ratio is used as a key indicator.</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8"/>
        </w:trPr>
        <w:tc>
          <w:tcPr>
            <w:tcW w:w="9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60" w:type="dxa"/>
            <w:vAlign w:val="bottom"/>
          </w:tcPr>
          <w:p>
            <w:pPr>
              <w:spacing w:after="0"/>
              <w:rPr>
                <w:sz w:val="20"/>
                <w:szCs w:val="20"/>
                <w:color w:val="auto"/>
              </w:rPr>
            </w:pPr>
          </w:p>
        </w:tc>
      </w:tr>
      <w:tr>
        <w:trPr>
          <w:trHeight w:val="187"/>
        </w:trPr>
        <w:tc>
          <w:tcPr>
            <w:tcW w:w="9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10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(In thousands</w:t>
            </w:r>
          </w:p>
        </w:tc>
        <w:tc>
          <w:tcPr>
            <w:tcW w:w="160" w:type="dxa"/>
            <w:vAlign w:val="bottom"/>
          </w:tcPr>
          <w:p>
            <w:pPr>
              <w:spacing w:after="0"/>
              <w:rPr>
                <w:sz w:val="16"/>
                <w:szCs w:val="16"/>
                <w:color w:val="auto"/>
              </w:rPr>
            </w:pPr>
          </w:p>
        </w:tc>
      </w:tr>
      <w:tr>
        <w:trPr>
          <w:trHeight w:val="216"/>
        </w:trPr>
        <w:tc>
          <w:tcPr>
            <w:tcW w:w="9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of Korean</w:t>
            </w:r>
          </w:p>
        </w:tc>
      </w:tr>
      <w:tr>
        <w:trPr>
          <w:trHeight w:val="238"/>
        </w:trPr>
        <w:tc>
          <w:tcPr>
            <w:tcW w:w="9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won)</w:t>
            </w:r>
          </w:p>
        </w:tc>
      </w:tr>
      <w:tr>
        <w:trPr>
          <w:trHeight w:val="216"/>
        </w:trPr>
        <w:tc>
          <w:tcPr>
            <w:tcW w:w="9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8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19,442,641</w:t>
            </w:r>
          </w:p>
        </w:tc>
      </w:tr>
      <w:tr>
        <w:trPr>
          <w:trHeight w:val="216"/>
        </w:trPr>
        <w:tc>
          <w:tcPr>
            <w:tcW w:w="9120" w:type="dxa"/>
            <w:vAlign w:val="bottom"/>
          </w:tcPr>
          <w:p>
            <w:pPr>
              <w:spacing w:after="0"/>
              <w:rPr>
                <w:sz w:val="20"/>
                <w:szCs w:val="20"/>
                <w:color w:val="auto"/>
              </w:rPr>
            </w:pPr>
            <w:r>
              <w:rPr>
                <w:rFonts w:ascii="Times New Roman" w:cs="Times New Roman" w:eastAsia="Times New Roman" w:hAnsi="Times New Roman"/>
                <w:sz w:val="18"/>
                <w:szCs w:val="18"/>
                <w:color w:val="auto"/>
              </w:rPr>
              <w:t>Total equity</w:t>
            </w:r>
          </w:p>
        </w:tc>
        <w:tc>
          <w:tcPr>
            <w:tcW w:w="860" w:type="dxa"/>
            <w:vAlign w:val="bottom"/>
          </w:tcPr>
          <w:p>
            <w:pPr>
              <w:ind w:left="56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13,507,602</w:t>
            </w:r>
          </w:p>
        </w:tc>
      </w:tr>
      <w:tr>
        <w:trPr>
          <w:trHeight w:val="216"/>
        </w:trPr>
        <w:tc>
          <w:tcPr>
            <w:tcW w:w="9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 ratio</w:t>
            </w:r>
          </w:p>
        </w:tc>
        <w:tc>
          <w:tcPr>
            <w:tcW w:w="8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143.94%</w:t>
            </w:r>
          </w:p>
        </w:tc>
      </w:tr>
      <w:tr>
        <w:trPr>
          <w:trHeight w:val="432"/>
        </w:trPr>
        <w:tc>
          <w:tcPr>
            <w:tcW w:w="9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ii.  Market risk</w:t>
            </w:r>
          </w:p>
        </w:tc>
        <w:tc>
          <w:tcPr>
            <w:tcW w:w="8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32"/>
        </w:trPr>
        <w:tc>
          <w:tcPr>
            <w:tcW w:w="9120" w:type="dxa"/>
            <w:vAlign w:val="bottom"/>
          </w:tcPr>
          <w:p>
            <w:pPr>
              <w:spacing w:after="0"/>
              <w:rPr>
                <w:sz w:val="20"/>
                <w:szCs w:val="20"/>
                <w:color w:val="auto"/>
              </w:rPr>
            </w:pPr>
            <w:r>
              <w:rPr>
                <w:rFonts w:ascii="Times New Roman" w:cs="Times New Roman" w:eastAsia="Times New Roman" w:hAnsi="Times New Roman"/>
                <w:sz w:val="18"/>
                <w:szCs w:val="18"/>
                <w:color w:val="auto"/>
              </w:rPr>
              <w:t>The Group is exposed to financial risks primarily arising from fluctuations in foreign exchange rates and interest rates.</w:t>
            </w:r>
          </w:p>
        </w:tc>
        <w:tc>
          <w:tcPr>
            <w:tcW w:w="8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32"/>
        </w:trPr>
        <w:tc>
          <w:tcPr>
            <w:tcW w:w="9120" w:type="dxa"/>
            <w:vAlign w:val="bottom"/>
          </w:tcPr>
          <w:p>
            <w:pPr>
              <w:spacing w:after="0"/>
              <w:rPr>
                <w:sz w:val="20"/>
                <w:szCs w:val="20"/>
                <w:color w:val="auto"/>
              </w:rPr>
            </w:pPr>
            <w:r>
              <w:rPr>
                <w:rFonts w:ascii="Times New Roman" w:cs="Times New Roman" w:eastAsia="Times New Roman" w:hAnsi="Times New Roman"/>
                <w:sz w:val="18"/>
                <w:szCs w:val="18"/>
                <w:color w:val="auto"/>
              </w:rPr>
              <w:t>a. Foreign exchange risk</w:t>
            </w:r>
          </w:p>
        </w:tc>
        <w:tc>
          <w:tcPr>
            <w:tcW w:w="8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Group is exposed to foreign exchange risk as it engages in transactions denominated in foreign currencies. The Group regularly measures and monitors its exposure to exchange rate fluctuations.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Foreign currency-denominated assets and liabilities as of December 31, 2025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6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3"/>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6060" w:type="dxa"/>
            <w:vAlign w:val="bottom"/>
          </w:tcPr>
          <w:p>
            <w:pPr>
              <w:spacing w:after="0"/>
              <w:rPr>
                <w:sz w:val="16"/>
                <w:szCs w:val="16"/>
                <w:color w:val="auto"/>
              </w:rPr>
            </w:pPr>
          </w:p>
        </w:tc>
        <w:tc>
          <w:tcPr>
            <w:tcW w:w="100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Assets</w:t>
            </w:r>
          </w:p>
        </w:tc>
        <w:tc>
          <w:tcPr>
            <w:tcW w:w="1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20" w:type="dxa"/>
            <w:vAlign w:val="bottom"/>
          </w:tcPr>
          <w:p>
            <w:pPr>
              <w:jc w:val="center"/>
              <w:ind w:right="70"/>
              <w:spacing w:after="0" w:line="188" w:lineRule="exact"/>
              <w:rPr>
                <w:sz w:val="20"/>
                <w:szCs w:val="20"/>
                <w:color w:val="auto"/>
              </w:rPr>
            </w:pPr>
            <w:r>
              <w:rPr>
                <w:rFonts w:ascii="Times New Roman" w:cs="Times New Roman" w:eastAsia="Times New Roman" w:hAnsi="Times New Roman"/>
                <w:sz w:val="18"/>
                <w:szCs w:val="18"/>
                <w:b w:val="1"/>
                <w:bCs w:val="1"/>
                <w:color w:val="auto"/>
                <w:w w:val="98"/>
              </w:rPr>
              <w:t>Liabilities</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6060" w:type="dxa"/>
            <w:vAlign w:val="bottom"/>
          </w:tcPr>
          <w:p>
            <w:pPr>
              <w:spacing w:after="0"/>
              <w:rPr>
                <w:sz w:val="18"/>
                <w:szCs w:val="18"/>
                <w:color w:val="auto"/>
              </w:rPr>
            </w:pPr>
          </w:p>
        </w:tc>
        <w:tc>
          <w:tcPr>
            <w:tcW w:w="100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(Foreign</w:t>
            </w:r>
          </w:p>
        </w:tc>
        <w:tc>
          <w:tcPr>
            <w:tcW w:w="1260" w:type="dxa"/>
            <w:vAlign w:val="bottom"/>
          </w:tcPr>
          <w:p>
            <w:pPr>
              <w:jc w:val="center"/>
              <w:ind w:left="410"/>
              <w:spacing w:after="0"/>
              <w:rPr>
                <w:sz w:val="20"/>
                <w:szCs w:val="20"/>
                <w:color w:val="auto"/>
              </w:rPr>
            </w:pPr>
            <w:r>
              <w:rPr>
                <w:rFonts w:ascii="Times New Roman" w:cs="Times New Roman" w:eastAsia="Times New Roman" w:hAnsi="Times New Roman"/>
                <w:sz w:val="18"/>
                <w:szCs w:val="18"/>
                <w:b w:val="1"/>
                <w:bCs w:val="1"/>
                <w:color w:val="auto"/>
                <w:w w:val="99"/>
              </w:rPr>
              <w:t>Assets</w:t>
            </w:r>
          </w:p>
        </w:tc>
        <w:tc>
          <w:tcPr>
            <w:tcW w:w="360" w:type="dxa"/>
            <w:vAlign w:val="bottom"/>
          </w:tcPr>
          <w:p>
            <w:pPr>
              <w:spacing w:after="0"/>
              <w:rPr>
                <w:sz w:val="18"/>
                <w:szCs w:val="18"/>
                <w:color w:val="auto"/>
              </w:rPr>
            </w:pPr>
          </w:p>
        </w:tc>
        <w:tc>
          <w:tcPr>
            <w:tcW w:w="132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(Foreign</w:t>
            </w:r>
          </w:p>
        </w:tc>
        <w:tc>
          <w:tcPr>
            <w:tcW w:w="12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Liabilities</w:t>
            </w:r>
          </w:p>
        </w:tc>
      </w:tr>
      <w:tr>
        <w:trPr>
          <w:trHeight w:val="238"/>
        </w:trPr>
        <w:tc>
          <w:tcPr>
            <w:tcW w:w="6060" w:type="dxa"/>
            <w:vAlign w:val="bottom"/>
          </w:tcPr>
          <w:p>
            <w:pPr>
              <w:spacing w:after="0"/>
              <w:rPr>
                <w:sz w:val="20"/>
                <w:szCs w:val="20"/>
                <w:color w:val="auto"/>
              </w:rPr>
            </w:pPr>
          </w:p>
        </w:tc>
        <w:tc>
          <w:tcPr>
            <w:tcW w:w="100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7"/>
              </w:rPr>
              <w:t>Currency)</w:t>
            </w:r>
          </w:p>
        </w:tc>
        <w:tc>
          <w:tcPr>
            <w:tcW w:w="1260" w:type="dxa"/>
            <w:vAlign w:val="bottom"/>
          </w:tcPr>
          <w:p>
            <w:pPr>
              <w:jc w:val="center"/>
              <w:ind w:left="410"/>
              <w:spacing w:after="0"/>
              <w:rPr>
                <w:sz w:val="20"/>
                <w:szCs w:val="20"/>
                <w:color w:val="auto"/>
              </w:rPr>
            </w:pPr>
            <w:r>
              <w:rPr>
                <w:rFonts w:ascii="Times New Roman" w:cs="Times New Roman" w:eastAsia="Times New Roman" w:hAnsi="Times New Roman"/>
                <w:sz w:val="18"/>
                <w:szCs w:val="18"/>
                <w:b w:val="1"/>
                <w:bCs w:val="1"/>
                <w:color w:val="auto"/>
                <w:w w:val="98"/>
              </w:rPr>
              <w:t>(KRW)</w:t>
            </w:r>
          </w:p>
        </w:tc>
        <w:tc>
          <w:tcPr>
            <w:tcW w:w="360" w:type="dxa"/>
            <w:vAlign w:val="bottom"/>
          </w:tcPr>
          <w:p>
            <w:pPr>
              <w:spacing w:after="0"/>
              <w:rPr>
                <w:sz w:val="20"/>
                <w:szCs w:val="20"/>
                <w:color w:val="auto"/>
              </w:rPr>
            </w:pPr>
          </w:p>
        </w:tc>
        <w:tc>
          <w:tcPr>
            <w:tcW w:w="13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Currency)</w:t>
            </w:r>
          </w:p>
        </w:tc>
        <w:tc>
          <w:tcPr>
            <w:tcW w:w="12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(KRW)</w:t>
            </w:r>
          </w:p>
        </w:tc>
      </w:tr>
      <w:tr>
        <w:trPr>
          <w:trHeight w:val="210"/>
        </w:trPr>
        <w:tc>
          <w:tcPr>
            <w:tcW w:w="606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940" w:type="dxa"/>
            <w:vAlign w:val="bottom"/>
            <w:tcBorders>
              <w:top w:val="single" w:sz="8" w:color="auto"/>
            </w:tcBorders>
            <w:gridSpan w:val="3"/>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(In thousands of Korean won)</w:t>
            </w: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USD</w:t>
            </w:r>
          </w:p>
        </w:tc>
        <w:tc>
          <w:tcPr>
            <w:tcW w:w="1260" w:type="dxa"/>
            <w:vAlign w:val="bottom"/>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689,524</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989,398</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10% increase or decrease in exchange rates would result in a decrease or increase in profit before tax by approximately Korean won 98,940 thousand.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 Interest rate risk management</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Group is exposed to interest rate risk in relation to deposits and other interest-bearing instruments. Interest rates are periodically reviewed and managed in line with defined risk tolerance levels to ensure optimal risk management strategies.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60" w:type="dxa"/>
            <w:vAlign w:val="bottom"/>
          </w:tcPr>
          <w:p>
            <w:pPr>
              <w:spacing w:after="0"/>
              <w:rPr>
                <w:sz w:val="20"/>
                <w:szCs w:val="20"/>
                <w:color w:val="auto"/>
              </w:rPr>
            </w:pPr>
            <w:r>
              <w:rPr>
                <w:rFonts w:ascii="Times New Roman" w:cs="Times New Roman" w:eastAsia="Times New Roman" w:hAnsi="Times New Roman"/>
                <w:sz w:val="18"/>
                <w:szCs w:val="18"/>
                <w:color w:val="auto"/>
              </w:rPr>
              <w:t>The impact on profit before tax from a 1% change in interest rates on variable-rate deposits is as follows:</w:t>
            </w:r>
          </w:p>
        </w:tc>
        <w:tc>
          <w:tcPr>
            <w:tcW w:w="1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86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8"/>
        </w:trPr>
        <w:tc>
          <w:tcPr>
            <w:tcW w:w="86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20"/>
                <w:szCs w:val="20"/>
                <w:color w:val="auto"/>
              </w:rPr>
            </w:pPr>
          </w:p>
        </w:tc>
      </w:tr>
      <w:tr>
        <w:trPr>
          <w:trHeight w:val="187"/>
        </w:trPr>
        <w:tc>
          <w:tcPr>
            <w:tcW w:w="86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12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8"/>
              </w:rPr>
              <w:t>(In thousands</w:t>
            </w:r>
          </w:p>
        </w:tc>
        <w:tc>
          <w:tcPr>
            <w:tcW w:w="100" w:type="dxa"/>
            <w:vAlign w:val="bottom"/>
          </w:tcPr>
          <w:p>
            <w:pPr>
              <w:spacing w:after="0"/>
              <w:rPr>
                <w:sz w:val="16"/>
                <w:szCs w:val="16"/>
                <w:color w:val="auto"/>
              </w:rPr>
            </w:pPr>
          </w:p>
        </w:tc>
      </w:tr>
      <w:tr>
        <w:trPr>
          <w:trHeight w:val="216"/>
        </w:trPr>
        <w:tc>
          <w:tcPr>
            <w:tcW w:w="86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of Korean</w:t>
            </w:r>
          </w:p>
        </w:tc>
      </w:tr>
      <w:tr>
        <w:trPr>
          <w:trHeight w:val="238"/>
        </w:trPr>
        <w:tc>
          <w:tcPr>
            <w:tcW w:w="86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won)</w:t>
            </w:r>
          </w:p>
        </w:tc>
      </w:tr>
      <w:tr>
        <w:trPr>
          <w:trHeight w:val="216"/>
        </w:trPr>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in interest rates</w:t>
            </w:r>
          </w:p>
        </w:tc>
        <w:tc>
          <w:tcPr>
            <w:tcW w:w="136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22,954</w:t>
            </w:r>
          </w:p>
        </w:tc>
      </w:tr>
      <w:tr>
        <w:trPr>
          <w:trHeight w:val="234"/>
        </w:trPr>
        <w:tc>
          <w:tcPr>
            <w:tcW w:w="8660" w:type="dxa"/>
            <w:vAlign w:val="bottom"/>
          </w:tcPr>
          <w:p>
            <w:pPr>
              <w:spacing w:after="0"/>
              <w:rPr>
                <w:sz w:val="20"/>
                <w:szCs w:val="20"/>
                <w:color w:val="auto"/>
              </w:rPr>
            </w:pPr>
            <w:r>
              <w:rPr>
                <w:rFonts w:ascii="Times New Roman" w:cs="Times New Roman" w:eastAsia="Times New Roman" w:hAnsi="Times New Roman"/>
                <w:sz w:val="18"/>
                <w:szCs w:val="18"/>
                <w:color w:val="auto"/>
              </w:rPr>
              <w:t>Decrease in interest rates</w:t>
            </w:r>
          </w:p>
        </w:tc>
        <w:tc>
          <w:tcPr>
            <w:tcW w:w="1360" w:type="dxa"/>
            <w:vAlign w:val="bottom"/>
          </w:tcPr>
          <w:p>
            <w:pPr>
              <w:spacing w:after="0"/>
              <w:rPr>
                <w:sz w:val="20"/>
                <w:szCs w:val="20"/>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(22,954)</w:t>
            </w:r>
          </w:p>
        </w:tc>
      </w:tr>
      <w:tr>
        <w:trPr>
          <w:trHeight w:val="414"/>
        </w:trPr>
        <w:tc>
          <w:tcPr>
            <w:tcW w:w="8660" w:type="dxa"/>
            <w:vAlign w:val="bottom"/>
          </w:tcPr>
          <w:p>
            <w:pPr>
              <w:spacing w:after="0"/>
              <w:rPr>
                <w:sz w:val="20"/>
                <w:szCs w:val="20"/>
                <w:color w:val="auto"/>
              </w:rPr>
            </w:pPr>
            <w:r>
              <w:rPr>
                <w:rFonts w:ascii="Times New Roman" w:cs="Times New Roman" w:eastAsia="Times New Roman" w:hAnsi="Times New Roman"/>
                <w:sz w:val="18"/>
                <w:szCs w:val="18"/>
                <w:color w:val="auto"/>
              </w:rPr>
              <w:t>c. Other Price Risk</w:t>
            </w:r>
          </w:p>
        </w:tc>
        <w:tc>
          <w:tcPr>
            <w:tcW w:w="1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Group is exposed to price risk arising from equity instruments. These investments are held for strategic purposes rather than trading, and the Group does not actively trade these investments.</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53" w:name="page54"/>
    <w:bookmarkEnd w:id="53"/>
    <w:p>
      <w:pPr>
        <w:jc w:val="center"/>
        <w:spacing w:after="0"/>
        <w:rPr>
          <w:sz w:val="20"/>
          <w:szCs w:val="20"/>
          <w:color w:val="auto"/>
        </w:rPr>
      </w:pPr>
      <w:r>
        <w:rPr>
          <w:rFonts w:ascii="Times New Roman" w:cs="Times New Roman" w:eastAsia="Times New Roman" w:hAnsi="Times New Roman"/>
          <w:sz w:val="18"/>
          <w:szCs w:val="18"/>
          <w:b w:val="1"/>
          <w:bCs w:val="1"/>
          <w:color w:val="auto"/>
        </w:rPr>
        <w:t>HANSOL INTICUBE CO.,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iii.  Credit Risk Management</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Credit risk refers to the risk that a counterparty will default on its contractual obligations, resulting in a financial loss to the Group. The Group manages credit risk by transacting only with counterparties of appropriate credit quality and by obtaining sufficient collateral where appropriate.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Group performs internal credit evaluations and utilizes publicly available financial information and historical transaction data in assessing creditworthiness. Credit exposure and counterparty credit ratings are continuously monitored, and transactions are diversified across approved counterparties. Credit risk is controlled through credit limits that are reviewed and approved annually by the Board of Directors.</w:t>
      </w:r>
    </w:p>
    <w:p>
      <w:pPr>
        <w:spacing w:after="0" w:line="176" w:lineRule="exact"/>
        <w:rPr>
          <w:sz w:val="20"/>
          <w:szCs w:val="20"/>
          <w:color w:val="auto"/>
        </w:rPr>
      </w:pPr>
    </w:p>
    <w:p>
      <w:pPr>
        <w:ind w:left="340"/>
        <w:spacing w:after="0"/>
        <w:tabs>
          <w:tab w:leader="none" w:pos="640" w:val="left"/>
        </w:tabs>
        <w:rPr>
          <w:sz w:val="20"/>
          <w:szCs w:val="20"/>
          <w:color w:val="auto"/>
        </w:rPr>
      </w:pPr>
      <w:r>
        <w:rPr>
          <w:rFonts w:ascii="Times New Roman" w:cs="Times New Roman" w:eastAsia="Times New Roman" w:hAnsi="Times New Roman"/>
          <w:sz w:val="18"/>
          <w:szCs w:val="18"/>
          <w:color w:val="auto"/>
        </w:rPr>
        <w:t>iv.</w:t>
      </w:r>
      <w:r>
        <w:rPr>
          <w:sz w:val="20"/>
          <w:szCs w:val="20"/>
          <w:color w:val="auto"/>
        </w:rPr>
        <w:tab/>
      </w:r>
      <w:r>
        <w:rPr>
          <w:rFonts w:ascii="Times New Roman" w:cs="Times New Roman" w:eastAsia="Times New Roman" w:hAnsi="Times New Roman"/>
          <w:sz w:val="17"/>
          <w:szCs w:val="17"/>
          <w:color w:val="auto"/>
        </w:rPr>
        <w:t>Liquidity risk management</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Ultimate responsibility for liquidity risk management rests with the Board of Directors, which establishes appropriate policies for managing short-term and long-term funding and liquidity. The Group manages liquidity risk by maintaining adequate reserves, borrowing facilities, and continuously monitoring forecast and actual cash flows, while matching the maturity profiles of financial assets and liabilities.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maturity analysis of non-derivative financial liabilities as of December 31, 2025 is as follows. The amounts presented represent undiscounted contractual cash flows (including interest):</w:t>
      </w:r>
    </w:p>
    <w:p>
      <w:pPr>
        <w:sectPr>
          <w:pgSz w:w="11900" w:h="16838" w:orient="portrait"/>
          <w:cols w:equalWidth="0" w:num="1">
            <w:col w:w="11240"/>
          </w:cols>
          <w:pgMar w:left="320" w:top="76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Trade payables and other payables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Lease liabilities</w:t>
      </w:r>
    </w:p>
    <w:p>
      <w:pPr>
        <w:spacing w:after="0" w:line="9" w:lineRule="exact"/>
        <w:rPr>
          <w:sz w:val="20"/>
          <w:szCs w:val="20"/>
          <w:color w:val="auto"/>
        </w:rPr>
      </w:pPr>
    </w:p>
    <w:p>
      <w:pPr>
        <w:jc w:val="center"/>
        <w:ind w:left="740"/>
        <w:spacing w:after="0"/>
        <w:rPr>
          <w:sz w:val="20"/>
          <w:szCs w:val="20"/>
          <w:color w:val="auto"/>
        </w:rPr>
      </w:pPr>
      <w:r>
        <w:rPr>
          <w:rFonts w:ascii="Times New Roman" w:cs="Times New Roman" w:eastAsia="Times New Roman" w:hAnsi="Times New Roman"/>
          <w:sz w:val="17"/>
          <w:szCs w:val="17"/>
          <w:color w:val="auto"/>
        </w:rPr>
        <w:t>Total</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28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4"/>
          </w:tcPr>
          <w:p>
            <w:pPr>
              <w:ind w:left="48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1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280" w:type="dxa"/>
            <w:vAlign w:val="bottom"/>
          </w:tcPr>
          <w:p>
            <w:pPr>
              <w:spacing w:after="0"/>
              <w:rPr>
                <w:sz w:val="16"/>
                <w:szCs w:val="16"/>
                <w:color w:val="auto"/>
              </w:rPr>
            </w:pPr>
          </w:p>
        </w:tc>
        <w:tc>
          <w:tcPr>
            <w:tcW w:w="1320" w:type="dxa"/>
            <w:vAlign w:val="bottom"/>
            <w:gridSpan w:val="2"/>
          </w:tcPr>
          <w:p>
            <w:pPr>
              <w:jc w:val="right"/>
              <w:ind w:right="420"/>
              <w:spacing w:after="0" w:line="188" w:lineRule="exact"/>
              <w:rPr>
                <w:sz w:val="20"/>
                <w:szCs w:val="20"/>
                <w:color w:val="auto"/>
              </w:rPr>
            </w:pPr>
            <w:r>
              <w:rPr>
                <w:rFonts w:ascii="Times New Roman" w:cs="Times New Roman" w:eastAsia="Times New Roman" w:hAnsi="Times New Roman"/>
                <w:sz w:val="18"/>
                <w:szCs w:val="18"/>
                <w:b w:val="1"/>
                <w:bCs w:val="1"/>
                <w:color w:val="auto"/>
              </w:rPr>
              <w:t>Carrying</w:t>
            </w:r>
          </w:p>
        </w:tc>
        <w:tc>
          <w:tcPr>
            <w:tcW w:w="1320" w:type="dxa"/>
            <w:vAlign w:val="bottom"/>
            <w:gridSpan w:val="2"/>
          </w:tcPr>
          <w:p>
            <w:pPr>
              <w:ind w:left="80"/>
              <w:spacing w:after="0" w:line="188" w:lineRule="exact"/>
              <w:rPr>
                <w:sz w:val="20"/>
                <w:szCs w:val="20"/>
                <w:color w:val="auto"/>
              </w:rPr>
            </w:pPr>
            <w:r>
              <w:rPr>
                <w:rFonts w:ascii="Times New Roman" w:cs="Times New Roman" w:eastAsia="Times New Roman" w:hAnsi="Times New Roman"/>
                <w:sz w:val="18"/>
                <w:szCs w:val="18"/>
                <w:b w:val="1"/>
                <w:bCs w:val="1"/>
                <w:color w:val="auto"/>
              </w:rPr>
              <w:t>Contractual</w:t>
            </w:r>
          </w:p>
        </w:tc>
        <w:tc>
          <w:tcPr>
            <w:tcW w:w="1320" w:type="dxa"/>
            <w:vAlign w:val="bottom"/>
            <w:gridSpan w:val="2"/>
          </w:tcPr>
          <w:p>
            <w:pPr>
              <w:jc w:val="right"/>
              <w:ind w:right="500"/>
              <w:spacing w:after="0" w:line="188" w:lineRule="exact"/>
              <w:rPr>
                <w:sz w:val="20"/>
                <w:szCs w:val="20"/>
                <w:color w:val="auto"/>
              </w:rPr>
            </w:pPr>
            <w:r>
              <w:rPr>
                <w:rFonts w:ascii="Times New Roman" w:cs="Times New Roman" w:eastAsia="Times New Roman" w:hAnsi="Times New Roman"/>
                <w:sz w:val="18"/>
                <w:szCs w:val="18"/>
                <w:b w:val="1"/>
                <w:bCs w:val="1"/>
                <w:color w:val="auto"/>
              </w:rPr>
              <w:t>Within</w:t>
            </w:r>
          </w:p>
        </w:tc>
        <w:tc>
          <w:tcPr>
            <w:tcW w:w="112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Over</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80" w:type="dxa"/>
            <w:vAlign w:val="bottom"/>
          </w:tcPr>
          <w:p>
            <w:pPr>
              <w:spacing w:after="0"/>
              <w:rPr>
                <w:sz w:val="20"/>
                <w:szCs w:val="20"/>
                <w:color w:val="auto"/>
              </w:rPr>
            </w:pPr>
          </w:p>
        </w:tc>
        <w:tc>
          <w:tcPr>
            <w:tcW w:w="13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3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Cash Flows</w:t>
            </w:r>
          </w:p>
        </w:tc>
        <w:tc>
          <w:tcPr>
            <w:tcW w:w="13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1 year</w:t>
            </w:r>
          </w:p>
        </w:tc>
        <w:tc>
          <w:tcPr>
            <w:tcW w:w="114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1 year</w:t>
            </w:r>
          </w:p>
        </w:tc>
        <w:tc>
          <w:tcPr>
            <w:tcW w:w="0" w:type="dxa"/>
            <w:vAlign w:val="bottom"/>
          </w:tcPr>
          <w:p>
            <w:pPr>
              <w:spacing w:after="0"/>
              <w:rPr>
                <w:sz w:val="1"/>
                <w:szCs w:val="1"/>
                <w:color w:val="auto"/>
              </w:rPr>
            </w:pPr>
          </w:p>
        </w:tc>
      </w:tr>
      <w:tr>
        <w:trPr>
          <w:trHeight w:val="191"/>
        </w:trPr>
        <w:tc>
          <w:tcPr>
            <w:tcW w:w="280" w:type="dxa"/>
            <w:vAlign w:val="bottom"/>
            <w:vMerge w:val="restart"/>
          </w:tcPr>
          <w:p>
            <w:pPr>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640" w:type="dxa"/>
            <w:vAlign w:val="bottom"/>
            <w:tcBorders>
              <w:top w:val="single" w:sz="8" w:color="auto"/>
            </w:tcBorders>
            <w:gridSpan w:val="4"/>
          </w:tcPr>
          <w:p>
            <w:pPr>
              <w:ind w:left="60"/>
              <w:spacing w:after="0" w:line="191" w:lineRule="exact"/>
              <w:rPr>
                <w:sz w:val="20"/>
                <w:szCs w:val="20"/>
                <w:color w:val="auto"/>
              </w:rPr>
            </w:pPr>
            <w:r>
              <w:rPr>
                <w:rFonts w:ascii="Times New Roman" w:cs="Times New Roman" w:eastAsia="Times New Roman" w:hAnsi="Times New Roman"/>
                <w:sz w:val="18"/>
                <w:szCs w:val="18"/>
                <w:b w:val="1"/>
                <w:bCs w:val="1"/>
                <w:color w:val="auto"/>
              </w:rPr>
              <w:t>(In thousands of Korean won)</w:t>
            </w:r>
          </w:p>
        </w:tc>
        <w:tc>
          <w:tcPr>
            <w:tcW w:w="112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80" w:type="dxa"/>
            <w:vAlign w:val="bottom"/>
            <w:vMerge w:val="continue"/>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7,878,676</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7,878,676</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7,878,676</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280" w:type="dxa"/>
            <w:vAlign w:val="bottom"/>
            <w:vMerge w:val="restart"/>
          </w:tcPr>
          <w:p>
            <w:pPr>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1,041,844</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1,170,306</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71,433</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298,873</w:t>
            </w:r>
          </w:p>
        </w:tc>
        <w:tc>
          <w:tcPr>
            <w:tcW w:w="0" w:type="dxa"/>
            <w:vAlign w:val="bottom"/>
          </w:tcPr>
          <w:p>
            <w:pPr>
              <w:spacing w:after="0"/>
              <w:rPr>
                <w:sz w:val="1"/>
                <w:szCs w:val="1"/>
                <w:color w:val="auto"/>
              </w:rPr>
            </w:pPr>
          </w:p>
        </w:tc>
      </w:tr>
      <w:tr>
        <w:trPr>
          <w:trHeight w:val="210"/>
        </w:trPr>
        <w:tc>
          <w:tcPr>
            <w:tcW w:w="280" w:type="dxa"/>
            <w:vAlign w:val="bottom"/>
            <w:vMerge w:val="continue"/>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8,920,520</w:t>
            </w:r>
          </w:p>
        </w:tc>
        <w:tc>
          <w:tcPr>
            <w:tcW w:w="220" w:type="dxa"/>
            <w:vAlign w:val="bottom"/>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9,048,982</w:t>
            </w:r>
          </w:p>
        </w:tc>
        <w:tc>
          <w:tcPr>
            <w:tcW w:w="220" w:type="dxa"/>
            <w:vAlign w:val="bottom"/>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8,750,109</w:t>
            </w:r>
          </w:p>
        </w:tc>
        <w:tc>
          <w:tcPr>
            <w:tcW w:w="220" w:type="dxa"/>
            <w:vAlign w:val="bottom"/>
          </w:tcPr>
          <w:p>
            <w:pPr>
              <w:spacing w:after="0"/>
              <w:rPr>
                <w:sz w:val="18"/>
                <w:szCs w:val="18"/>
                <w:color w:val="auto"/>
              </w:rPr>
            </w:pPr>
          </w:p>
        </w:tc>
        <w:tc>
          <w:tcPr>
            <w:tcW w:w="114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298,873</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-3664585</wp:posOffset>
            </wp:positionH>
            <wp:positionV relativeFrom="paragraph">
              <wp:posOffset>-445135</wp:posOffset>
            </wp:positionV>
            <wp:extent cx="7132320" cy="13716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-3664585</wp:posOffset>
            </wp:positionH>
            <wp:positionV relativeFrom="paragraph">
              <wp:posOffset>-170815</wp:posOffset>
            </wp:positionV>
            <wp:extent cx="7132320" cy="15430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5060" w:space="720"/>
            <w:col w:w="5460"/>
          </w:cols>
          <w:pgMar w:left="320" w:top="765" w:right="339" w:bottom="1440" w:gutter="0" w:footer="0" w:header="0"/>
          <w:type w:val="continuous"/>
        </w:sectPr>
      </w:pPr>
    </w:p>
    <w:p>
      <w:pPr>
        <w:spacing w:after="0" w:line="282" w:lineRule="auto"/>
        <w:rPr>
          <w:sz w:val="20"/>
          <w:szCs w:val="20"/>
          <w:color w:val="auto"/>
        </w:rPr>
      </w:pPr>
      <w:r>
        <w:rPr>
          <w:rFonts w:ascii="Times New Roman" w:cs="Times New Roman" w:eastAsia="Times New Roman" w:hAnsi="Times New Roman"/>
          <w:sz w:val="18"/>
          <w:szCs w:val="18"/>
          <w:color w:val="auto"/>
        </w:rPr>
        <w:t>The Group maintains unused borrowing facilities (see Note 37) at an appropriate level and continuously monitors liquidity forecasts to ensure that it does not breach borrowing limits or covenants in meeting operational funding requirements.</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Group has entered into supplier finance arrangements with financial institutions (see Note 14), which have improved its working capital. The financial institutions involved maintain sound financial positions, and the Group does not have a significant concentration of liquidity risk with these institutions.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35. Related parties</w:t>
            </w:r>
          </w:p>
        </w:tc>
        <w:tc>
          <w:tcPr>
            <w:tcW w:w="5480" w:type="dxa"/>
            <w:vAlign w:val="bottom"/>
          </w:tcPr>
          <w:p>
            <w:pPr>
              <w:spacing w:after="0"/>
              <w:rPr>
                <w:sz w:val="20"/>
                <w:szCs w:val="20"/>
                <w:color w:val="auto"/>
              </w:rPr>
            </w:pPr>
          </w:p>
        </w:tc>
      </w:tr>
      <w:tr>
        <w:trPr>
          <w:trHeight w:val="432"/>
        </w:trPr>
        <w:tc>
          <w:tcPr>
            <w:tcW w:w="5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  List of related parties</w:t>
            </w:r>
          </w:p>
        </w:tc>
        <w:tc>
          <w:tcPr>
            <w:tcW w:w="5480" w:type="dxa"/>
            <w:vAlign w:val="bottom"/>
          </w:tcPr>
          <w:p>
            <w:pPr>
              <w:spacing w:after="0"/>
              <w:rPr>
                <w:sz w:val="24"/>
                <w:szCs w:val="24"/>
                <w:color w:val="auto"/>
              </w:rPr>
            </w:pPr>
          </w:p>
        </w:tc>
      </w:tr>
      <w:tr>
        <w:trPr>
          <w:trHeight w:val="432"/>
        </w:trPr>
        <w:tc>
          <w:tcPr>
            <w:tcW w:w="5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list of related parties as of December 31, 2025 is as follows:</w:t>
            </w:r>
          </w:p>
        </w:tc>
        <w:tc>
          <w:tcPr>
            <w:tcW w:w="5480" w:type="dxa"/>
            <w:vAlign w:val="bottom"/>
          </w:tcPr>
          <w:p>
            <w:pPr>
              <w:spacing w:after="0"/>
              <w:rPr>
                <w:sz w:val="24"/>
                <w:szCs w:val="24"/>
                <w:color w:val="auto"/>
              </w:rPr>
            </w:pPr>
          </w:p>
        </w:tc>
      </w:tr>
      <w:tr>
        <w:trPr>
          <w:trHeight w:val="432"/>
        </w:trPr>
        <w:tc>
          <w:tcPr>
            <w:tcW w:w="5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Relationship</w:t>
            </w:r>
          </w:p>
        </w:tc>
        <w:tc>
          <w:tcPr>
            <w:tcW w:w="5480" w:type="dxa"/>
            <w:vAlign w:val="bottom"/>
          </w:tcPr>
          <w:p>
            <w:pPr>
              <w:ind w:left="2180"/>
              <w:spacing w:after="0"/>
              <w:rPr>
                <w:sz w:val="20"/>
                <w:szCs w:val="20"/>
                <w:color w:val="auto"/>
              </w:rPr>
            </w:pPr>
            <w:r>
              <w:rPr>
                <w:rFonts w:ascii="Times New Roman" w:cs="Times New Roman" w:eastAsia="Times New Roman" w:hAnsi="Times New Roman"/>
                <w:sz w:val="18"/>
                <w:szCs w:val="18"/>
                <w:b w:val="1"/>
                <w:bCs w:val="1"/>
                <w:color w:val="auto"/>
              </w:rPr>
              <w:t>Name of entity</w:t>
            </w:r>
          </w:p>
        </w:tc>
      </w:tr>
      <w:tr>
        <w:trPr>
          <w:trHeight w:val="210"/>
        </w:trPr>
        <w:tc>
          <w:tcPr>
            <w:tcW w:w="54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Entity exercising significant influence over the Group</w:t>
            </w:r>
          </w:p>
        </w:tc>
        <w:tc>
          <w:tcPr>
            <w:tcW w:w="300" w:type="dxa"/>
            <w:vAlign w:val="bottom"/>
            <w:tcBorders>
              <w:top w:val="single" w:sz="8" w:color="CFF0FC"/>
            </w:tcBorders>
            <w:shd w:val="clear" w:color="auto" w:fill="CFF0FC"/>
          </w:tcPr>
          <w:p>
            <w:pPr>
              <w:spacing w:after="0"/>
              <w:rPr>
                <w:sz w:val="18"/>
                <w:szCs w:val="18"/>
                <w:color w:val="auto"/>
              </w:rPr>
            </w:pPr>
          </w:p>
        </w:tc>
        <w:tc>
          <w:tcPr>
            <w:tcW w:w="54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Hansol Holdings Co., Ltd. (*1)</w:t>
            </w:r>
          </w:p>
        </w:tc>
      </w:tr>
      <w:tr>
        <w:trPr>
          <w:trHeight w:val="198"/>
        </w:trPr>
        <w:tc>
          <w:tcPr>
            <w:tcW w:w="57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Other related parties (*2)</w:t>
            </w:r>
          </w:p>
        </w:tc>
        <w:tc>
          <w:tcPr>
            <w:tcW w:w="54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Companies belonging to the Hansol group under the Monopoly Regulation</w:t>
            </w:r>
          </w:p>
        </w:tc>
      </w:tr>
      <w:tr>
        <w:trPr>
          <w:trHeight w:val="234"/>
        </w:trPr>
        <w:tc>
          <w:tcPr>
            <w:tcW w:w="5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and Fair Trade Act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5"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7"/>
          <w:szCs w:val="17"/>
          <w:color w:val="auto"/>
        </w:rPr>
        <w:t>The entity holds more than 20% of the equity interest in the Group and exercises significant influence.</w:t>
      </w:r>
    </w:p>
    <w:p>
      <w:pPr>
        <w:spacing w:after="0" w:line="27" w:lineRule="exact"/>
        <w:rPr>
          <w:sz w:val="20"/>
          <w:szCs w:val="20"/>
          <w:color w:val="auto"/>
        </w:rPr>
      </w:pPr>
    </w:p>
    <w:p>
      <w:pPr>
        <w:jc w:val="both"/>
        <w:ind w:left="460" w:hanging="459"/>
        <w:spacing w:after="0" w:line="260" w:lineRule="auto"/>
        <w:tabs>
          <w:tab w:leader="none" w:pos="440" w:val="left"/>
        </w:tabs>
        <w:rPr>
          <w:sz w:val="20"/>
          <w:szCs w:val="20"/>
          <w:color w:val="auto"/>
        </w:rPr>
      </w:pPr>
      <w:r>
        <w:rPr>
          <w:rFonts w:ascii="Times New Roman" w:cs="Times New Roman" w:eastAsia="Times New Roman" w:hAnsi="Times New Roman"/>
          <w:sz w:val="18"/>
          <w:szCs w:val="18"/>
          <w:color w:val="auto"/>
        </w:rPr>
        <w:t>(*2)</w:t>
        <w:tab/>
        <w:t>These entities are companies within the same large business group as defined under the Monopoly Regulation and Fair Trade Act and are classified as related parties based on substantive relationships in accordance with IAS 24 paragraph 10.</w:t>
      </w: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54" w:name="page55"/>
    <w:bookmarkEnd w:id="54"/>
    <w:p>
      <w:pPr>
        <w:jc w:val="center"/>
        <w:spacing w:after="0"/>
        <w:rPr>
          <w:sz w:val="20"/>
          <w:szCs w:val="20"/>
          <w:color w:val="auto"/>
        </w:rPr>
      </w:pPr>
      <w:r>
        <w:rPr>
          <w:rFonts w:ascii="Times New Roman" w:cs="Times New Roman" w:eastAsia="Times New Roman" w:hAnsi="Times New Roman"/>
          <w:sz w:val="18"/>
          <w:szCs w:val="18"/>
          <w:b w:val="1"/>
          <w:bCs w:val="1"/>
          <w:color w:val="auto"/>
        </w:rPr>
        <w:t>HANSOL INTICUBE CO.,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B.</w:t>
      </w:r>
      <w:r>
        <w:rPr>
          <w:sz w:val="20"/>
          <w:szCs w:val="20"/>
          <w:color w:val="auto"/>
        </w:rPr>
        <w:tab/>
      </w:r>
      <w:r>
        <w:rPr>
          <w:rFonts w:ascii="Times New Roman" w:cs="Times New Roman" w:eastAsia="Times New Roman" w:hAnsi="Times New Roman"/>
          <w:sz w:val="17"/>
          <w:szCs w:val="17"/>
          <w:b w:val="1"/>
          <w:bCs w:val="1"/>
          <w:color w:val="auto"/>
        </w:rPr>
        <w:t>Transactions with related parties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Details of transactions with related parties for the year ended December 31, 2025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Related party</w:t>
            </w:r>
          </w:p>
        </w:tc>
        <w:tc>
          <w:tcPr>
            <w:tcW w:w="120" w:type="dxa"/>
            <w:vAlign w:val="bottom"/>
          </w:tcPr>
          <w:p>
            <w:pPr>
              <w:spacing w:after="0"/>
              <w:rPr>
                <w:sz w:val="20"/>
                <w:szCs w:val="20"/>
                <w:color w:val="auto"/>
              </w:rPr>
            </w:pPr>
          </w:p>
        </w:tc>
        <w:tc>
          <w:tcPr>
            <w:tcW w:w="224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b w:val="1"/>
                <w:bCs w:val="1"/>
                <w:color w:val="auto"/>
              </w:rPr>
              <w:t>Name of entity</w:t>
            </w:r>
          </w:p>
        </w:tc>
        <w:tc>
          <w:tcPr>
            <w:tcW w:w="220" w:type="dxa"/>
            <w:vAlign w:val="bottom"/>
          </w:tcPr>
          <w:p>
            <w:pPr>
              <w:spacing w:after="0"/>
              <w:rPr>
                <w:sz w:val="20"/>
                <w:szCs w:val="20"/>
                <w:color w:val="auto"/>
              </w:rPr>
            </w:pPr>
          </w:p>
        </w:tc>
        <w:tc>
          <w:tcPr>
            <w:tcW w:w="224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8"/>
                <w:szCs w:val="18"/>
                <w:b w:val="1"/>
                <w:bCs w:val="1"/>
                <w:color w:val="auto"/>
              </w:rPr>
              <w:t>Account</w:t>
            </w:r>
          </w:p>
        </w:tc>
        <w:tc>
          <w:tcPr>
            <w:tcW w:w="38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20"/>
                <w:szCs w:val="20"/>
                <w:color w:val="auto"/>
              </w:rPr>
            </w:pPr>
          </w:p>
        </w:tc>
      </w:tr>
      <w:tr>
        <w:trPr>
          <w:trHeight w:val="187"/>
        </w:trPr>
        <w:tc>
          <w:tcPr>
            <w:tcW w:w="4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2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8"/>
              </w:rPr>
              <w:t>(In thousands</w:t>
            </w:r>
          </w:p>
        </w:tc>
        <w:tc>
          <w:tcPr>
            <w:tcW w:w="100" w:type="dxa"/>
            <w:vAlign w:val="bottom"/>
          </w:tcPr>
          <w:p>
            <w:pPr>
              <w:spacing w:after="0"/>
              <w:rPr>
                <w:sz w:val="16"/>
                <w:szCs w:val="16"/>
                <w:color w:val="auto"/>
              </w:rPr>
            </w:pPr>
          </w:p>
        </w:tc>
      </w:tr>
      <w:tr>
        <w:trPr>
          <w:trHeight w:val="216"/>
        </w:trPr>
        <w:tc>
          <w:tcPr>
            <w:tcW w:w="4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of Korean</w:t>
            </w:r>
          </w:p>
        </w:tc>
      </w:tr>
      <w:tr>
        <w:trPr>
          <w:trHeight w:val="238"/>
        </w:trPr>
        <w:tc>
          <w:tcPr>
            <w:tcW w:w="4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won)</w:t>
            </w:r>
          </w:p>
        </w:tc>
      </w:t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Entity exercising significant influence over the Group</w:t>
            </w:r>
          </w:p>
        </w:tc>
        <w:tc>
          <w:tcPr>
            <w:tcW w:w="23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Hansol Holdings Co., Ltd.</w:t>
            </w:r>
          </w:p>
        </w:tc>
        <w:tc>
          <w:tcPr>
            <w:tcW w:w="24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expenses</w:t>
            </w:r>
          </w:p>
        </w:tc>
        <w:tc>
          <w:tcPr>
            <w:tcW w:w="3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329,130</w:t>
            </w: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Other related party</w:t>
            </w:r>
          </w:p>
        </w:tc>
        <w:tc>
          <w:tcPr>
            <w:tcW w:w="23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Hansol Technics Co., Ltd.</w:t>
            </w:r>
          </w:p>
        </w:tc>
        <w:tc>
          <w:tcPr>
            <w:tcW w:w="24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Other expenses</w:t>
            </w:r>
          </w:p>
        </w:tc>
        <w:tc>
          <w:tcPr>
            <w:tcW w:w="38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656</w:t>
            </w:r>
          </w:p>
        </w:tc>
      </w:t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related party</w:t>
            </w:r>
          </w:p>
        </w:tc>
        <w:tc>
          <w:tcPr>
            <w:tcW w:w="23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Hansol PNS Co., Ltd.</w:t>
            </w:r>
          </w:p>
        </w:tc>
        <w:tc>
          <w:tcPr>
            <w:tcW w:w="24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Revenue</w:t>
            </w:r>
          </w:p>
        </w:tc>
        <w:tc>
          <w:tcPr>
            <w:tcW w:w="3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1,920</w:t>
            </w: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Other related party</w:t>
            </w:r>
          </w:p>
        </w:tc>
        <w:tc>
          <w:tcPr>
            <w:tcW w:w="23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Hansol PNS Co., Ltd.</w:t>
            </w:r>
          </w:p>
        </w:tc>
        <w:tc>
          <w:tcPr>
            <w:tcW w:w="24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Other income</w:t>
            </w:r>
          </w:p>
        </w:tc>
        <w:tc>
          <w:tcPr>
            <w:tcW w:w="38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2,082</w:t>
            </w:r>
          </w:p>
        </w:tc>
      </w:t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related party</w:t>
            </w:r>
          </w:p>
        </w:tc>
        <w:tc>
          <w:tcPr>
            <w:tcW w:w="23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Hansol PNS Co., Ltd.</w:t>
            </w:r>
          </w:p>
        </w:tc>
        <w:tc>
          <w:tcPr>
            <w:tcW w:w="24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Purchases</w:t>
            </w:r>
          </w:p>
        </w:tc>
        <w:tc>
          <w:tcPr>
            <w:tcW w:w="3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513,444</w:t>
            </w:r>
          </w:p>
        </w:tc>
      </w:tr>
      <w:tr>
        <w:trPr>
          <w:trHeight w:val="198"/>
        </w:trPr>
        <w:tc>
          <w:tcPr>
            <w:tcW w:w="48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Other related party</w:t>
            </w:r>
          </w:p>
        </w:tc>
        <w:tc>
          <w:tcPr>
            <w:tcW w:w="2360" w:type="dxa"/>
            <w:vAlign w:val="bottom"/>
            <w:gridSpan w:val="2"/>
          </w:tcPr>
          <w:p>
            <w:pPr>
              <w:ind w:left="120"/>
              <w:spacing w:after="0" w:line="198" w:lineRule="exact"/>
              <w:rPr>
                <w:sz w:val="20"/>
                <w:szCs w:val="20"/>
                <w:color w:val="auto"/>
              </w:rPr>
            </w:pPr>
            <w:r>
              <w:rPr>
                <w:rFonts w:ascii="Times New Roman" w:cs="Times New Roman" w:eastAsia="Times New Roman" w:hAnsi="Times New Roman"/>
                <w:sz w:val="18"/>
                <w:szCs w:val="18"/>
                <w:color w:val="auto"/>
              </w:rPr>
              <w:t>Hansol PNS Co., Ltd.</w:t>
            </w:r>
          </w:p>
        </w:tc>
        <w:tc>
          <w:tcPr>
            <w:tcW w:w="2460" w:type="dxa"/>
            <w:vAlign w:val="bottom"/>
            <w:gridSpan w:val="2"/>
          </w:tcPr>
          <w:p>
            <w:pPr>
              <w:ind w:left="220"/>
              <w:spacing w:after="0" w:line="198" w:lineRule="exact"/>
              <w:rPr>
                <w:sz w:val="20"/>
                <w:szCs w:val="20"/>
                <w:color w:val="auto"/>
              </w:rPr>
            </w:pPr>
            <w:r>
              <w:rPr>
                <w:rFonts w:ascii="Times New Roman" w:cs="Times New Roman" w:eastAsia="Times New Roman" w:hAnsi="Times New Roman"/>
                <w:sz w:val="18"/>
                <w:szCs w:val="18"/>
                <w:color w:val="auto"/>
              </w:rPr>
              <w:t>Acquisition of intangible</w:t>
            </w:r>
          </w:p>
        </w:tc>
        <w:tc>
          <w:tcPr>
            <w:tcW w:w="3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4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4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assets</w:t>
            </w:r>
          </w:p>
        </w:tc>
        <w:tc>
          <w:tcPr>
            <w:tcW w:w="380" w:type="dxa"/>
            <w:vAlign w:val="bottom"/>
          </w:tcPr>
          <w:p>
            <w:pPr>
              <w:spacing w:after="0"/>
              <w:rPr>
                <w:sz w:val="20"/>
                <w:szCs w:val="20"/>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53,900</w:t>
            </w:r>
          </w:p>
        </w:tc>
      </w:t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related party</w:t>
            </w:r>
          </w:p>
        </w:tc>
        <w:tc>
          <w:tcPr>
            <w:tcW w:w="23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Hansol PNS Co., Ltd.</w:t>
            </w:r>
          </w:p>
        </w:tc>
        <w:tc>
          <w:tcPr>
            <w:tcW w:w="24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expenses</w:t>
            </w:r>
          </w:p>
        </w:tc>
        <w:tc>
          <w:tcPr>
            <w:tcW w:w="3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204,762</w:t>
            </w: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Other related party</w:t>
            </w:r>
          </w:p>
        </w:tc>
        <w:tc>
          <w:tcPr>
            <w:tcW w:w="23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Hansol Cultural Foundation</w:t>
            </w:r>
          </w:p>
        </w:tc>
        <w:tc>
          <w:tcPr>
            <w:tcW w:w="24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Other expenses</w:t>
            </w:r>
          </w:p>
        </w:tc>
        <w:tc>
          <w:tcPr>
            <w:tcW w:w="38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11,447</w:t>
            </w:r>
          </w:p>
        </w:tc>
      </w:t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related party</w:t>
            </w:r>
          </w:p>
        </w:tc>
        <w:tc>
          <w:tcPr>
            <w:tcW w:w="23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Hansol Cober Co., Ltd.</w:t>
            </w:r>
          </w:p>
        </w:tc>
        <w:tc>
          <w:tcPr>
            <w:tcW w:w="24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Purchases</w:t>
            </w:r>
          </w:p>
        </w:tc>
        <w:tc>
          <w:tcPr>
            <w:tcW w:w="3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746,065</w:t>
            </w:r>
          </w:p>
        </w:tc>
      </w:tr>
      <w:tr>
        <w:trPr>
          <w:trHeight w:val="561"/>
        </w:trPr>
        <w:tc>
          <w:tcPr>
            <w:tcW w:w="482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2"/>
          </w:tcPr>
          <w:p>
            <w:pPr>
              <w:ind w:left="720"/>
              <w:spacing w:after="0"/>
              <w:rPr>
                <w:sz w:val="20"/>
                <w:szCs w:val="20"/>
                <w:color w:val="auto"/>
              </w:rPr>
            </w:pPr>
            <w:r>
              <w:rPr>
                <w:rFonts w:ascii="Times New Roman" w:cs="Times New Roman" w:eastAsia="Times New Roman" w:hAnsi="Times New Roman"/>
                <w:sz w:val="18"/>
                <w:szCs w:val="18"/>
                <w:color w:val="auto"/>
              </w:rPr>
              <w:t>52</w:t>
            </w:r>
          </w:p>
        </w:tc>
        <w:tc>
          <w:tcPr>
            <w:tcW w:w="2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65" w:right="339" w:bottom="1440" w:gutter="0" w:footer="0" w:header="0"/>
        </w:sectPr>
      </w:pPr>
    </w:p>
    <w:bookmarkStart w:id="55" w:name="page56"/>
    <w:bookmarkEnd w:id="55"/>
    <w:p>
      <w:pPr>
        <w:jc w:val="center"/>
        <w:spacing w:after="0"/>
        <w:rPr>
          <w:sz w:val="20"/>
          <w:szCs w:val="20"/>
          <w:color w:val="auto"/>
        </w:rPr>
      </w:pPr>
      <w:r>
        <w:rPr>
          <w:rFonts w:ascii="Times New Roman" w:cs="Times New Roman" w:eastAsia="Times New Roman" w:hAnsi="Times New Roman"/>
          <w:sz w:val="18"/>
          <w:szCs w:val="18"/>
          <w:b w:val="1"/>
          <w:bCs w:val="1"/>
          <w:color w:val="auto"/>
        </w:rPr>
        <w:t>HANSOL INTICUBE CO.,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Account balances with related parties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balances of receivables and payables to related parties as of December 31, 2025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December 31, 2025</w:t>
            </w:r>
          </w:p>
        </w:tc>
        <w:tc>
          <w:tcPr>
            <w:tcW w:w="11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187"/>
        </w:trPr>
        <w:tc>
          <w:tcPr>
            <w:tcW w:w="4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20" w:type="dxa"/>
            <w:vAlign w:val="bottom"/>
            <w:gridSpan w:val="2"/>
          </w:tcPr>
          <w:p>
            <w:pPr>
              <w:jc w:val="right"/>
              <w:ind w:right="340"/>
              <w:spacing w:after="0" w:line="188" w:lineRule="exact"/>
              <w:rPr>
                <w:sz w:val="20"/>
                <w:szCs w:val="20"/>
                <w:color w:val="auto"/>
              </w:rPr>
            </w:pPr>
            <w:r>
              <w:rPr>
                <w:rFonts w:ascii="Times New Roman" w:cs="Times New Roman" w:eastAsia="Times New Roman" w:hAnsi="Times New Roman"/>
                <w:sz w:val="18"/>
                <w:szCs w:val="18"/>
                <w:b w:val="1"/>
                <w:bCs w:val="1"/>
                <w:color w:val="auto"/>
              </w:rPr>
              <w:t>Other</w:t>
            </w:r>
          </w:p>
        </w:tc>
        <w:tc>
          <w:tcPr>
            <w:tcW w:w="200" w:type="dxa"/>
            <w:vAlign w:val="bottom"/>
          </w:tcPr>
          <w:p>
            <w:pPr>
              <w:spacing w:after="0"/>
              <w:rPr>
                <w:sz w:val="16"/>
                <w:szCs w:val="16"/>
                <w:color w:val="auto"/>
              </w:rPr>
            </w:pPr>
          </w:p>
        </w:tc>
        <w:tc>
          <w:tcPr>
            <w:tcW w:w="1320" w:type="dxa"/>
            <w:vAlign w:val="bottom"/>
            <w:gridSpan w:val="2"/>
          </w:tcPr>
          <w:p>
            <w:pPr>
              <w:jc w:val="center"/>
              <w:ind w:right="220"/>
              <w:spacing w:after="0" w:line="188" w:lineRule="exact"/>
              <w:rPr>
                <w:sz w:val="20"/>
                <w:szCs w:val="20"/>
                <w:color w:val="auto"/>
              </w:rPr>
            </w:pPr>
            <w:r>
              <w:rPr>
                <w:rFonts w:ascii="Times New Roman" w:cs="Times New Roman" w:eastAsia="Times New Roman" w:hAnsi="Times New Roman"/>
                <w:sz w:val="18"/>
                <w:szCs w:val="18"/>
                <w:b w:val="1"/>
                <w:bCs w:val="1"/>
                <w:color w:val="auto"/>
                <w:w w:val="97"/>
              </w:rPr>
              <w:t>Trade</w:t>
            </w:r>
          </w:p>
        </w:tc>
        <w:tc>
          <w:tcPr>
            <w:tcW w:w="112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Other</w:t>
            </w:r>
          </w:p>
        </w:tc>
        <w:tc>
          <w:tcPr>
            <w:tcW w:w="100" w:type="dxa"/>
            <w:vAlign w:val="bottom"/>
            <w:gridSpan w:val="2"/>
          </w:tcPr>
          <w:p>
            <w:pPr>
              <w:spacing w:after="0"/>
              <w:rPr>
                <w:sz w:val="16"/>
                <w:szCs w:val="16"/>
                <w:color w:val="auto"/>
              </w:rPr>
            </w:pPr>
          </w:p>
        </w:tc>
      </w:tr>
      <w:tr>
        <w:trPr>
          <w:trHeight w:val="238"/>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Related party</w:t>
            </w:r>
          </w:p>
        </w:tc>
        <w:tc>
          <w:tcPr>
            <w:tcW w:w="120" w:type="dxa"/>
            <w:vAlign w:val="bottom"/>
          </w:tcPr>
          <w:p>
            <w:pPr>
              <w:spacing w:after="0"/>
              <w:rPr>
                <w:sz w:val="20"/>
                <w:szCs w:val="20"/>
                <w:color w:val="auto"/>
              </w:rPr>
            </w:pPr>
          </w:p>
        </w:tc>
        <w:tc>
          <w:tcPr>
            <w:tcW w:w="2240" w:type="dxa"/>
            <w:vAlign w:val="bottom"/>
          </w:tcPr>
          <w:p>
            <w:pPr>
              <w:ind w:left="560"/>
              <w:spacing w:after="0"/>
              <w:rPr>
                <w:sz w:val="20"/>
                <w:szCs w:val="20"/>
                <w:color w:val="auto"/>
              </w:rPr>
            </w:pPr>
            <w:r>
              <w:rPr>
                <w:rFonts w:ascii="Times New Roman" w:cs="Times New Roman" w:eastAsia="Times New Roman" w:hAnsi="Times New Roman"/>
                <w:sz w:val="18"/>
                <w:szCs w:val="18"/>
                <w:b w:val="1"/>
                <w:bCs w:val="1"/>
                <w:color w:val="auto"/>
              </w:rPr>
              <w:t>Name of entity</w:t>
            </w:r>
          </w:p>
        </w:tc>
        <w:tc>
          <w:tcPr>
            <w:tcW w:w="40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Receivables</w:t>
            </w:r>
          </w:p>
        </w:tc>
        <w:tc>
          <w:tcPr>
            <w:tcW w:w="200" w:type="dxa"/>
            <w:vAlign w:val="bottom"/>
          </w:tcPr>
          <w:p>
            <w:pPr>
              <w:spacing w:after="0"/>
              <w:rPr>
                <w:sz w:val="20"/>
                <w:szCs w:val="20"/>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Payables</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Payables</w:t>
            </w:r>
          </w:p>
        </w:tc>
      </w:tr>
      <w:tr>
        <w:trPr>
          <w:trHeight w:val="210"/>
        </w:trPr>
        <w:tc>
          <w:tcPr>
            <w:tcW w:w="46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3760" w:type="dxa"/>
            <w:vAlign w:val="bottom"/>
            <w:tcBorders>
              <w:top w:val="single" w:sz="8" w:color="auto"/>
            </w:tcBorders>
            <w:gridSpan w:val="6"/>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 thousands of Korean won)</w:t>
            </w:r>
          </w:p>
        </w:tc>
        <w:tc>
          <w:tcPr>
            <w:tcW w:w="100" w:type="dxa"/>
            <w:vAlign w:val="bottom"/>
            <w:gridSpan w:val="2"/>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Entity exercising significant influence over the Group</w:t>
            </w:r>
          </w:p>
        </w:tc>
        <w:tc>
          <w:tcPr>
            <w:tcW w:w="23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Hansol Holdings Co., Ltd.</w:t>
            </w:r>
          </w:p>
        </w:tc>
        <w:tc>
          <w:tcPr>
            <w:tcW w:w="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42,730</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Other related party</w:t>
            </w:r>
          </w:p>
        </w:tc>
        <w:tc>
          <w:tcPr>
            <w:tcW w:w="23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Hansol Technics Co., Ltd.</w:t>
            </w:r>
          </w:p>
        </w:tc>
        <w:tc>
          <w:tcPr>
            <w:tcW w:w="40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related party</w:t>
            </w:r>
          </w:p>
        </w:tc>
        <w:tc>
          <w:tcPr>
            <w:tcW w:w="23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Hansol Cultural Foundation</w:t>
            </w:r>
          </w:p>
        </w:tc>
        <w:tc>
          <w:tcPr>
            <w:tcW w:w="4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12,591</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Other related party</w:t>
            </w:r>
          </w:p>
        </w:tc>
        <w:tc>
          <w:tcPr>
            <w:tcW w:w="23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Hansol Cober Co., Ltd.</w:t>
            </w:r>
          </w:p>
        </w:tc>
        <w:tc>
          <w:tcPr>
            <w:tcW w:w="40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64,046</w:t>
            </w: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47,245</w:t>
            </w: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related party</w:t>
            </w:r>
          </w:p>
        </w:tc>
        <w:tc>
          <w:tcPr>
            <w:tcW w:w="23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Hansol PNS Co., Ltd.</w:t>
            </w:r>
          </w:p>
        </w:tc>
        <w:tc>
          <w:tcPr>
            <w:tcW w:w="4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2,082</w:t>
            </w:r>
          </w:p>
        </w:tc>
        <w:tc>
          <w:tcPr>
            <w:tcW w:w="15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165,052</w:t>
            </w:r>
          </w:p>
        </w:tc>
        <w:tc>
          <w:tcPr>
            <w:tcW w:w="80" w:type="dxa"/>
            <w:vAlign w:val="bottom"/>
            <w:shd w:val="clear" w:color="auto" w:fill="CCEEFF"/>
          </w:tcPr>
          <w:p>
            <w:pPr>
              <w:spacing w:after="0"/>
              <w:rPr>
                <w:sz w:val="18"/>
                <w:szCs w:val="18"/>
                <w:color w:val="auto"/>
              </w:rPr>
            </w:pPr>
          </w:p>
        </w:tc>
      </w:tr>
      <w:tr>
        <w:trPr>
          <w:trHeight w:val="210"/>
        </w:trPr>
        <w:tc>
          <w:tcPr>
            <w:tcW w:w="4620" w:type="dxa"/>
            <w:vAlign w:val="bottom"/>
          </w:tcPr>
          <w:p>
            <w:pPr>
              <w:ind w:left="33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400" w:type="dxa"/>
            <w:vAlign w:val="bottom"/>
          </w:tcPr>
          <w:p>
            <w:pPr>
              <w:ind w:left="12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2,082</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64,046</w:t>
            </w:r>
          </w:p>
        </w:tc>
        <w:tc>
          <w:tcPr>
            <w:tcW w:w="220" w:type="dxa"/>
            <w:vAlign w:val="bottom"/>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267,618</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4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 allowance for doubtful accounts has been recognized in relation to the above receivables from related parties as of December 31, 2025, and no bad debt expense has been recognized during the year ended December 31,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Key management personnel compensation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Key management includes registered directors and executives who have the authority and responsibility for planning, directing and controlling the activities of the Group. Compensation for key management personnel for the year ended December 31, 2025 is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4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524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5240" w:type="dxa"/>
            <w:vAlign w:val="bottom"/>
          </w:tcPr>
          <w:p>
            <w:pPr>
              <w:spacing w:after="0"/>
              <w:rPr>
                <w:sz w:val="16"/>
                <w:szCs w:val="16"/>
                <w:color w:val="auto"/>
              </w:rPr>
            </w:pPr>
          </w:p>
        </w:tc>
        <w:tc>
          <w:tcPr>
            <w:tcW w:w="4740" w:type="dxa"/>
            <w:vAlign w:val="bottom"/>
          </w:tcPr>
          <w:p>
            <w:pPr>
              <w:spacing w:after="0"/>
              <w:rPr>
                <w:sz w:val="16"/>
                <w:szCs w:val="16"/>
                <w:color w:val="auto"/>
              </w:rPr>
            </w:pPr>
          </w:p>
        </w:tc>
        <w:tc>
          <w:tcPr>
            <w:tcW w:w="116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24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of Korean</w:t>
            </w:r>
          </w:p>
        </w:tc>
        <w:tc>
          <w:tcPr>
            <w:tcW w:w="0" w:type="dxa"/>
            <w:vAlign w:val="bottom"/>
          </w:tcPr>
          <w:p>
            <w:pPr>
              <w:spacing w:after="0"/>
              <w:rPr>
                <w:sz w:val="1"/>
                <w:szCs w:val="1"/>
                <w:color w:val="auto"/>
              </w:rPr>
            </w:pPr>
          </w:p>
        </w:tc>
      </w:tr>
      <w:tr>
        <w:trPr>
          <w:trHeight w:val="238"/>
        </w:trPr>
        <w:tc>
          <w:tcPr>
            <w:tcW w:w="524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won)</w:t>
            </w: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employee benefits</w:t>
            </w:r>
          </w:p>
        </w:tc>
        <w:tc>
          <w:tcPr>
            <w:tcW w:w="4740" w:type="dxa"/>
            <w:vAlign w:val="bottom"/>
            <w:shd w:val="clear" w:color="auto" w:fill="CCEEFF"/>
          </w:tcPr>
          <w:p>
            <w:pPr>
              <w:ind w:left="44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829,742</w:t>
            </w: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Long-term employee benefits</w:t>
            </w:r>
          </w:p>
        </w:tc>
        <w:tc>
          <w:tcPr>
            <w:tcW w:w="474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payment expense</w:t>
            </w:r>
          </w:p>
        </w:tc>
        <w:tc>
          <w:tcPr>
            <w:tcW w:w="47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(26,345)</w:t>
            </w: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Retirement benefits</w:t>
            </w:r>
          </w:p>
        </w:tc>
        <w:tc>
          <w:tcPr>
            <w:tcW w:w="474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102,997</w:t>
            </w:r>
          </w:p>
        </w:tc>
        <w:tc>
          <w:tcPr>
            <w:tcW w:w="0" w:type="dxa"/>
            <w:vAlign w:val="bottom"/>
          </w:tcPr>
          <w:p>
            <w:pPr>
              <w:spacing w:after="0"/>
              <w:rPr>
                <w:sz w:val="1"/>
                <w:szCs w:val="1"/>
                <w:color w:val="auto"/>
              </w:rPr>
            </w:pPr>
          </w:p>
        </w:tc>
      </w:tr>
      <w:tr>
        <w:trPr>
          <w:trHeight w:val="210"/>
        </w:trPr>
        <w:tc>
          <w:tcPr>
            <w:tcW w:w="5240" w:type="dxa"/>
            <w:vAlign w:val="bottom"/>
            <w:tcBorders>
              <w:top w:val="single" w:sz="8" w:color="CCEEFF"/>
              <w:bottom w:val="single" w:sz="8" w:color="CCEEFF"/>
            </w:tcBorders>
            <w:shd w:val="clear" w:color="auto" w:fill="CCEEFF"/>
          </w:tcPr>
          <w:p>
            <w:pPr>
              <w:ind w:left="4580"/>
              <w:spacing w:after="0"/>
              <w:rPr>
                <w:sz w:val="20"/>
                <w:szCs w:val="20"/>
                <w:color w:val="auto"/>
              </w:rPr>
            </w:pPr>
            <w:r>
              <w:rPr>
                <w:rFonts w:ascii="Times New Roman" w:cs="Times New Roman" w:eastAsia="Times New Roman" w:hAnsi="Times New Roman"/>
                <w:sz w:val="18"/>
                <w:szCs w:val="18"/>
                <w:color w:val="auto"/>
              </w:rPr>
              <w:t>Total</w:t>
            </w:r>
          </w:p>
        </w:tc>
        <w:tc>
          <w:tcPr>
            <w:tcW w:w="4740" w:type="dxa"/>
            <w:vAlign w:val="bottom"/>
            <w:tcBorders>
              <w:top w:val="single" w:sz="8" w:color="CCEEFF"/>
              <w:bottom w:val="single" w:sz="8" w:color="CCEEFF"/>
            </w:tcBorders>
            <w:shd w:val="clear" w:color="auto" w:fill="CCEEFF"/>
          </w:tcPr>
          <w:p>
            <w:pPr>
              <w:ind w:left="444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906,442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4740" w:type="dxa"/>
            <w:vAlign w:val="bottom"/>
            <w:vMerge w:val="restart"/>
          </w:tcPr>
          <w:p>
            <w:pPr>
              <w:jc w:val="right"/>
              <w:ind w:right="4170"/>
              <w:spacing w:after="0"/>
              <w:rPr>
                <w:sz w:val="20"/>
                <w:szCs w:val="20"/>
                <w:color w:val="auto"/>
              </w:rPr>
            </w:pPr>
            <w:r>
              <w:rPr>
                <w:rFonts w:ascii="Times New Roman" w:cs="Times New Roman" w:eastAsia="Times New Roman" w:hAnsi="Times New Roman"/>
                <w:sz w:val="18"/>
                <w:szCs w:val="18"/>
                <w:color w:val="auto"/>
              </w:rPr>
              <w:t>53</w:t>
            </w: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1"/>
        </w:trPr>
        <w:tc>
          <w:tcPr>
            <w:tcW w:w="524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vMerge w:val="continue"/>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65" w:right="339" w:bottom="1440" w:gutter="0" w:footer="0" w:header="0"/>
        </w:sectPr>
      </w:pPr>
    </w:p>
    <w:bookmarkStart w:id="56" w:name="page57"/>
    <w:bookmarkEnd w:id="56"/>
    <w:p>
      <w:pPr>
        <w:jc w:val="center"/>
        <w:spacing w:after="0"/>
        <w:rPr>
          <w:sz w:val="20"/>
          <w:szCs w:val="20"/>
          <w:color w:val="auto"/>
        </w:rPr>
      </w:pPr>
      <w:r>
        <w:rPr>
          <w:rFonts w:ascii="Times New Roman" w:cs="Times New Roman" w:eastAsia="Times New Roman" w:hAnsi="Times New Roman"/>
          <w:sz w:val="18"/>
          <w:szCs w:val="18"/>
          <w:b w:val="1"/>
          <w:bCs w:val="1"/>
          <w:color w:val="auto"/>
        </w:rPr>
        <w:t>HANSOL INTICUBE CO.,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36. Statement of Cash flows</w:t>
            </w:r>
          </w:p>
        </w:tc>
        <w:tc>
          <w:tcPr>
            <w:tcW w:w="6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  Changes in liabilities arising from financing activities</w:t>
            </w:r>
          </w:p>
        </w:tc>
        <w:tc>
          <w:tcPr>
            <w:tcW w:w="6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Changes in liabilities arising from financing activities for the year ended December 31, 2025 are as follows:</w:t>
            </w:r>
          </w:p>
        </w:tc>
        <w:tc>
          <w:tcPr>
            <w:tcW w:w="6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87"/>
        </w:trPr>
        <w:tc>
          <w:tcPr>
            <w:tcW w:w="8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20" w:type="dxa"/>
            <w:vAlign w:val="bottom"/>
          </w:tcPr>
          <w:p>
            <w:pPr>
              <w:jc w:val="right"/>
              <w:ind w:right="550"/>
              <w:spacing w:after="0" w:line="188" w:lineRule="exact"/>
              <w:rPr>
                <w:sz w:val="20"/>
                <w:szCs w:val="20"/>
                <w:color w:val="auto"/>
              </w:rPr>
            </w:pPr>
            <w:r>
              <w:rPr>
                <w:rFonts w:ascii="Times New Roman" w:cs="Times New Roman" w:eastAsia="Times New Roman" w:hAnsi="Times New Roman"/>
                <w:sz w:val="18"/>
                <w:szCs w:val="18"/>
                <w:b w:val="1"/>
                <w:bCs w:val="1"/>
                <w:color w:val="auto"/>
              </w:rPr>
              <w:t>Lease</w:t>
            </w:r>
          </w:p>
        </w:tc>
        <w:tc>
          <w:tcPr>
            <w:tcW w:w="1020" w:type="dxa"/>
            <w:vAlign w:val="bottom"/>
          </w:tcPr>
          <w:p>
            <w:pPr>
              <w:jc w:val="right"/>
              <w:ind w:right="50"/>
              <w:spacing w:after="0" w:line="188" w:lineRule="exact"/>
              <w:rPr>
                <w:sz w:val="20"/>
                <w:szCs w:val="20"/>
                <w:color w:val="auto"/>
              </w:rPr>
            </w:pPr>
            <w:r>
              <w:rPr>
                <w:rFonts w:ascii="Times New Roman" w:cs="Times New Roman" w:eastAsia="Times New Roman" w:hAnsi="Times New Roman"/>
                <w:sz w:val="18"/>
                <w:szCs w:val="18"/>
                <w:b w:val="1"/>
                <w:bCs w:val="1"/>
                <w:color w:val="auto"/>
                <w:w w:val="99"/>
              </w:rPr>
              <w:t>Short-term</w:t>
            </w:r>
          </w:p>
        </w:tc>
        <w:tc>
          <w:tcPr>
            <w:tcW w:w="100" w:type="dxa"/>
            <w:vAlign w:val="bottom"/>
          </w:tcPr>
          <w:p>
            <w:pPr>
              <w:spacing w:after="0"/>
              <w:rPr>
                <w:sz w:val="16"/>
                <w:szCs w:val="16"/>
                <w:color w:val="auto"/>
              </w:rPr>
            </w:pPr>
          </w:p>
        </w:tc>
      </w:tr>
      <w:tr>
        <w:trPr>
          <w:trHeight w:val="238"/>
        </w:trPr>
        <w:tc>
          <w:tcPr>
            <w:tcW w:w="8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7"/>
              </w:rPr>
              <w:t>Borrowings</w:t>
            </w:r>
          </w:p>
        </w:tc>
      </w:tr>
      <w:tr>
        <w:trPr>
          <w:trHeight w:val="209"/>
        </w:trPr>
        <w:tc>
          <w:tcPr>
            <w:tcW w:w="8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(In thousands of Korean won)</w:t>
            </w:r>
          </w:p>
        </w:tc>
        <w:tc>
          <w:tcPr>
            <w:tcW w:w="100" w:type="dxa"/>
            <w:vAlign w:val="bottom"/>
          </w:tcPr>
          <w:p>
            <w:pPr>
              <w:spacing w:after="0"/>
              <w:rPr>
                <w:sz w:val="18"/>
                <w:szCs w:val="18"/>
                <w:color w:val="auto"/>
              </w:rPr>
            </w:pPr>
          </w:p>
        </w:tc>
      </w:tr>
      <w:tr>
        <w:trPr>
          <w:trHeight w:val="216"/>
        </w:trPr>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446,184</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1,078,296</w:t>
            </w:r>
          </w:p>
        </w:tc>
      </w:tr>
      <w:tr>
        <w:trPr>
          <w:trHeight w:val="216"/>
        </w:trPr>
        <w:tc>
          <w:tcPr>
            <w:tcW w:w="8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Changes from financing cash flows</w:t>
            </w:r>
          </w:p>
        </w:tc>
        <w:tc>
          <w:tcPr>
            <w:tcW w:w="600" w:type="dxa"/>
            <w:vAlign w:val="bottom"/>
          </w:tcPr>
          <w:p>
            <w:pPr>
              <w:spacing w:after="0"/>
              <w:rPr>
                <w:sz w:val="18"/>
                <w:szCs w:val="18"/>
                <w:color w:val="auto"/>
              </w:rPr>
            </w:pPr>
          </w:p>
        </w:tc>
        <w:tc>
          <w:tcPr>
            <w:tcW w:w="14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(842,121)</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(1,078,296)</w:t>
            </w:r>
          </w:p>
        </w:tc>
      </w:tr>
      <w:tr>
        <w:trPr>
          <w:trHeight w:val="216"/>
        </w:trPr>
        <w:tc>
          <w:tcPr>
            <w:tcW w:w="8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exchange differences</w:t>
            </w:r>
          </w:p>
        </w:tc>
        <w:tc>
          <w:tcPr>
            <w:tcW w:w="6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New lease contracts</w:t>
            </w:r>
          </w:p>
        </w:tc>
        <w:tc>
          <w:tcPr>
            <w:tcW w:w="600" w:type="dxa"/>
            <w:vAlign w:val="bottom"/>
          </w:tcPr>
          <w:p>
            <w:pPr>
              <w:spacing w:after="0"/>
              <w:rPr>
                <w:sz w:val="18"/>
                <w:szCs w:val="18"/>
                <w:color w:val="auto"/>
              </w:rPr>
            </w:pPr>
          </w:p>
        </w:tc>
        <w:tc>
          <w:tcPr>
            <w:tcW w:w="1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1,437,781</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Termination of lease contracts</w:t>
            </w:r>
          </w:p>
        </w:tc>
        <w:tc>
          <w:tcPr>
            <w:tcW w:w="6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303"/>
        </w:trPr>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600" w:type="dxa"/>
            <w:vAlign w:val="bottom"/>
          </w:tcPr>
          <w:p>
            <w:pPr>
              <w:ind w:left="32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1,041,844</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bl>
    <w:p>
      <w:pPr>
        <w:spacing w:after="0" w:line="107"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B.</w:t>
      </w:r>
      <w:r>
        <w:rPr>
          <w:sz w:val="20"/>
          <w:szCs w:val="20"/>
          <w:color w:val="auto"/>
        </w:rPr>
        <w:tab/>
      </w:r>
      <w:r>
        <w:rPr>
          <w:rFonts w:ascii="Times New Roman" w:cs="Times New Roman" w:eastAsia="Times New Roman" w:hAnsi="Times New Roman"/>
          <w:sz w:val="17"/>
          <w:szCs w:val="17"/>
          <w:b w:val="1"/>
          <w:bCs w:val="1"/>
          <w:color w:val="auto"/>
        </w:rPr>
        <w:t>Significant non-cash investing and financing activities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Significant non-cash investing and financing activities not included in the consolidated statement of cash flows for the year ended December 31, 2025 are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40" w:type="dxa"/>
            <w:vAlign w:val="bottom"/>
          </w:tcPr>
          <w:p>
            <w:pPr>
              <w:spacing w:after="0"/>
              <w:rPr>
                <w:sz w:val="20"/>
                <w:szCs w:val="20"/>
                <w:color w:val="auto"/>
              </w:rPr>
            </w:pPr>
          </w:p>
        </w:tc>
        <w:tc>
          <w:tcPr>
            <w:tcW w:w="518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20"/>
                <w:szCs w:val="20"/>
                <w:color w:val="auto"/>
              </w:rPr>
            </w:pPr>
          </w:p>
        </w:tc>
      </w:tr>
      <w:tr>
        <w:trPr>
          <w:trHeight w:val="187"/>
        </w:trPr>
        <w:tc>
          <w:tcPr>
            <w:tcW w:w="4840" w:type="dxa"/>
            <w:vAlign w:val="bottom"/>
          </w:tcPr>
          <w:p>
            <w:pPr>
              <w:spacing w:after="0"/>
              <w:rPr>
                <w:sz w:val="16"/>
                <w:szCs w:val="16"/>
                <w:color w:val="auto"/>
              </w:rPr>
            </w:pPr>
          </w:p>
        </w:tc>
        <w:tc>
          <w:tcPr>
            <w:tcW w:w="5180" w:type="dxa"/>
            <w:vAlign w:val="bottom"/>
          </w:tcPr>
          <w:p>
            <w:pPr>
              <w:spacing w:after="0"/>
              <w:rPr>
                <w:sz w:val="16"/>
                <w:szCs w:val="16"/>
                <w:color w:val="auto"/>
              </w:rPr>
            </w:pPr>
          </w:p>
        </w:tc>
        <w:tc>
          <w:tcPr>
            <w:tcW w:w="112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8"/>
              </w:rPr>
              <w:t>(In thousands</w:t>
            </w:r>
          </w:p>
        </w:tc>
        <w:tc>
          <w:tcPr>
            <w:tcW w:w="100" w:type="dxa"/>
            <w:vAlign w:val="bottom"/>
          </w:tcPr>
          <w:p>
            <w:pPr>
              <w:spacing w:after="0"/>
              <w:rPr>
                <w:sz w:val="16"/>
                <w:szCs w:val="16"/>
                <w:color w:val="auto"/>
              </w:rPr>
            </w:pPr>
          </w:p>
        </w:tc>
      </w:tr>
      <w:tr>
        <w:trPr>
          <w:trHeight w:val="216"/>
        </w:trPr>
        <w:tc>
          <w:tcPr>
            <w:tcW w:w="484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of Korean</w:t>
            </w:r>
          </w:p>
        </w:tc>
      </w:tr>
      <w:tr>
        <w:trPr>
          <w:trHeight w:val="238"/>
        </w:trPr>
        <w:tc>
          <w:tcPr>
            <w:tcW w:w="4840" w:type="dxa"/>
            <w:vAlign w:val="bottom"/>
          </w:tcPr>
          <w:p>
            <w:pPr>
              <w:spacing w:after="0"/>
              <w:rPr>
                <w:sz w:val="20"/>
                <w:szCs w:val="20"/>
                <w:color w:val="auto"/>
              </w:rPr>
            </w:pPr>
          </w:p>
        </w:tc>
        <w:tc>
          <w:tcPr>
            <w:tcW w:w="5180" w:type="dxa"/>
            <w:vAlign w:val="bottom"/>
          </w:tcPr>
          <w:p>
            <w:pPr>
              <w:spacing w:after="0"/>
              <w:rPr>
                <w:sz w:val="20"/>
                <w:szCs w:val="20"/>
                <w:color w:val="auto"/>
              </w:rPr>
            </w:pP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won)</w:t>
            </w:r>
          </w:p>
        </w:tc>
      </w:tr>
      <w:tr>
        <w:trPr>
          <w:trHeight w:val="216"/>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Payables related to acquisition of property and equipment</w:t>
            </w:r>
          </w:p>
        </w:tc>
        <w:tc>
          <w:tcPr>
            <w:tcW w:w="5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12,124</w:t>
            </w:r>
          </w:p>
        </w:tc>
      </w:tr>
      <w:tr>
        <w:trPr>
          <w:trHeight w:val="216"/>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Payables related to acquisition of intangible assets</w:t>
            </w:r>
          </w:p>
        </w:tc>
        <w:tc>
          <w:tcPr>
            <w:tcW w:w="518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55,990</w:t>
            </w:r>
          </w:p>
        </w:tc>
      </w:tr>
      <w:tr>
        <w:trPr>
          <w:trHeight w:val="216"/>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 of right-of-use assets</w:t>
            </w:r>
          </w:p>
        </w:tc>
        <w:tc>
          <w:tcPr>
            <w:tcW w:w="5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1,461,391</w:t>
            </w:r>
          </w:p>
        </w:tc>
      </w:tr>
      <w:tr>
        <w:trPr>
          <w:trHeight w:val="216"/>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Transfers of inventories</w:t>
            </w:r>
          </w:p>
        </w:tc>
        <w:tc>
          <w:tcPr>
            <w:tcW w:w="518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Transfers of lease assets</w:t>
            </w:r>
          </w:p>
        </w:tc>
        <w:tc>
          <w:tcPr>
            <w:tcW w:w="5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560"/>
        </w:trPr>
        <w:tc>
          <w:tcPr>
            <w:tcW w:w="4840" w:type="dxa"/>
            <w:vAlign w:val="bottom"/>
            <w:tcBorders>
              <w:bottom w:val="single" w:sz="8" w:color="auto"/>
            </w:tcBorders>
          </w:tcPr>
          <w:p>
            <w:pPr>
              <w:spacing w:after="0"/>
              <w:rPr>
                <w:sz w:val="24"/>
                <w:szCs w:val="24"/>
                <w:color w:val="auto"/>
              </w:rPr>
            </w:pPr>
          </w:p>
        </w:tc>
        <w:tc>
          <w:tcPr>
            <w:tcW w:w="5180" w:type="dxa"/>
            <w:vAlign w:val="bottom"/>
            <w:tcBorders>
              <w:bottom w:val="single" w:sz="8" w:color="auto"/>
            </w:tcBorders>
          </w:tcPr>
          <w:p>
            <w:pPr>
              <w:jc w:val="right"/>
              <w:ind w:right="4210"/>
              <w:spacing w:after="0"/>
              <w:rPr>
                <w:sz w:val="20"/>
                <w:szCs w:val="20"/>
                <w:color w:val="auto"/>
              </w:rPr>
            </w:pPr>
            <w:r>
              <w:rPr>
                <w:rFonts w:ascii="Times New Roman" w:cs="Times New Roman" w:eastAsia="Times New Roman" w:hAnsi="Times New Roman"/>
                <w:sz w:val="18"/>
                <w:szCs w:val="18"/>
                <w:color w:val="auto"/>
              </w:rPr>
              <w:t>54</w:t>
            </w: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65" w:right="339" w:bottom="1440" w:gutter="0" w:footer="0" w:header="0"/>
        </w:sectPr>
      </w:pPr>
    </w:p>
    <w:bookmarkStart w:id="57" w:name="page58"/>
    <w:bookmarkEnd w:id="57"/>
    <w:p>
      <w:pPr>
        <w:jc w:val="center"/>
        <w:spacing w:after="0"/>
        <w:rPr>
          <w:sz w:val="20"/>
          <w:szCs w:val="20"/>
          <w:color w:val="auto"/>
        </w:rPr>
      </w:pPr>
      <w:r>
        <w:rPr>
          <w:rFonts w:ascii="Times New Roman" w:cs="Times New Roman" w:eastAsia="Times New Roman" w:hAnsi="Times New Roman"/>
          <w:sz w:val="18"/>
          <w:szCs w:val="18"/>
          <w:b w:val="1"/>
          <w:bCs w:val="1"/>
          <w:color w:val="auto"/>
        </w:rPr>
        <w:t>HANSOL INTICUBE CO.,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ind w:right="7820" w:firstLine="8"/>
        <w:spacing w:after="0" w:line="503" w:lineRule="auto"/>
        <w:tabs>
          <w:tab w:leader="none" w:pos="270" w:val="left"/>
        </w:tabs>
        <w:numPr>
          <w:ilvl w:val="0"/>
          <w:numId w:val="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Contingent Liabilities and Commitments A. Litigation</w:t>
      </w:r>
    </w:p>
    <w:p>
      <w:pPr>
        <w:spacing w:after="0"/>
        <w:rPr>
          <w:sz w:val="20"/>
          <w:szCs w:val="20"/>
          <w:color w:val="auto"/>
        </w:rPr>
      </w:pPr>
      <w:r>
        <w:rPr>
          <w:rFonts w:ascii="Times New Roman" w:cs="Times New Roman" w:eastAsia="Times New Roman" w:hAnsi="Times New Roman"/>
          <w:sz w:val="18"/>
          <w:szCs w:val="18"/>
          <w:color w:val="auto"/>
        </w:rPr>
        <w:t>As of December 31, 2025, there are no legal proceedings pending in which the Group is a defendant.</w:t>
      </w:r>
    </w:p>
    <w:p>
      <w:pPr>
        <w:spacing w:after="0" w:line="221"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B.</w:t>
      </w:r>
      <w:r>
        <w:rPr>
          <w:sz w:val="20"/>
          <w:szCs w:val="20"/>
          <w:color w:val="auto"/>
        </w:rPr>
        <w:tab/>
      </w:r>
      <w:r>
        <w:rPr>
          <w:rFonts w:ascii="Times New Roman" w:cs="Times New Roman" w:eastAsia="Times New Roman" w:hAnsi="Times New Roman"/>
          <w:sz w:val="17"/>
          <w:szCs w:val="17"/>
          <w:b w:val="1"/>
          <w:bCs w:val="1"/>
          <w:color w:val="auto"/>
        </w:rPr>
        <w:t>Guarantees Received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Details of payment guarantees provided to the Group by third parties as of December 31, 2025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Guarantee</w:t>
            </w:r>
          </w:p>
        </w:tc>
        <w:tc>
          <w:tcPr>
            <w:tcW w:w="1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Guarantor</w:t>
            </w: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Currency</w:t>
            </w:r>
          </w:p>
        </w:tc>
        <w:tc>
          <w:tcPr>
            <w:tcW w:w="12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20"/>
                <w:szCs w:val="20"/>
                <w:color w:val="auto"/>
              </w:rPr>
            </w:pPr>
          </w:p>
        </w:tc>
        <w:tc>
          <w:tcPr>
            <w:tcW w:w="2120" w:type="dxa"/>
            <w:vAlign w:val="bottom"/>
            <w:gridSpan w:val="2"/>
          </w:tcPr>
          <w:p>
            <w:pPr>
              <w:ind w:left="56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1"/>
        </w:trPr>
        <w:tc>
          <w:tcPr>
            <w:tcW w:w="630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Seoul Guarantee Insurance</w:t>
            </w:r>
          </w:p>
        </w:tc>
        <w:tc>
          <w:tcPr>
            <w:tcW w:w="12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KRW</w:t>
            </w:r>
          </w:p>
        </w:tc>
        <w:tc>
          <w:tcPr>
            <w:tcW w:w="24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2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Contract performance</w:t>
            </w:r>
          </w:p>
        </w:tc>
        <w:tc>
          <w:tcPr>
            <w:tcW w:w="100" w:type="dxa"/>
            <w:vAlign w:val="bottom"/>
            <w:tcBorders>
              <w:top w:val="single" w:sz="8" w:color="CCEEFF"/>
            </w:tcBorders>
            <w:shd w:val="clear" w:color="auto" w:fill="CCEEFF"/>
          </w:tcPr>
          <w:p>
            <w:pPr>
              <w:spacing w:after="0"/>
              <w:rPr>
                <w:sz w:val="16"/>
                <w:szCs w:val="16"/>
                <w:color w:val="auto"/>
              </w:rPr>
            </w:pPr>
          </w:p>
        </w:tc>
      </w:tr>
      <w:tr>
        <w:trPr>
          <w:trHeight w:val="234"/>
        </w:trPr>
        <w:tc>
          <w:tcPr>
            <w:tcW w:w="6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194,650</w:t>
            </w:r>
          </w:p>
        </w:tc>
        <w:tc>
          <w:tcPr>
            <w:tcW w:w="222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guarantees and others</w:t>
            </w:r>
          </w:p>
        </w:tc>
      </w:tr>
      <w:tr>
        <w:trPr>
          <w:trHeight w:val="198"/>
        </w:trPr>
        <w:tc>
          <w:tcPr>
            <w:tcW w:w="64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Software Contractors Mutual Aid Association (*)</w:t>
            </w:r>
          </w:p>
        </w:tc>
        <w:tc>
          <w:tcPr>
            <w:tcW w:w="1380" w:type="dxa"/>
            <w:vAlign w:val="bottom"/>
            <w:gridSpan w:val="2"/>
          </w:tcPr>
          <w:p>
            <w:pPr>
              <w:jc w:val="center"/>
              <w:ind w:right="240"/>
              <w:spacing w:after="0" w:line="198" w:lineRule="exact"/>
              <w:rPr>
                <w:sz w:val="20"/>
                <w:szCs w:val="20"/>
                <w:color w:val="auto"/>
              </w:rPr>
            </w:pPr>
            <w:r>
              <w:rPr>
                <w:rFonts w:ascii="Times New Roman" w:cs="Times New Roman" w:eastAsia="Times New Roman" w:hAnsi="Times New Roman"/>
                <w:sz w:val="18"/>
                <w:szCs w:val="18"/>
                <w:color w:val="auto"/>
                <w:w w:val="99"/>
              </w:rPr>
              <w:t>KRW</w:t>
            </w: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20" w:type="dxa"/>
            <w:vAlign w:val="bottom"/>
            <w:gridSpan w:val="3"/>
          </w:tcPr>
          <w:p>
            <w:pPr>
              <w:ind w:left="100"/>
              <w:spacing w:after="0" w:line="198" w:lineRule="exact"/>
              <w:rPr>
                <w:sz w:val="20"/>
                <w:szCs w:val="20"/>
                <w:color w:val="auto"/>
              </w:rPr>
            </w:pPr>
            <w:r>
              <w:rPr>
                <w:rFonts w:ascii="Times New Roman" w:cs="Times New Roman" w:eastAsia="Times New Roman" w:hAnsi="Times New Roman"/>
                <w:sz w:val="18"/>
                <w:szCs w:val="18"/>
                <w:color w:val="auto"/>
              </w:rPr>
              <w:t>Contract performance</w:t>
            </w:r>
          </w:p>
        </w:tc>
      </w:tr>
      <w:tr>
        <w:trPr>
          <w:trHeight w:val="234"/>
        </w:trPr>
        <w:tc>
          <w:tcPr>
            <w:tcW w:w="6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8,516,637</w:t>
            </w:r>
          </w:p>
        </w:tc>
        <w:tc>
          <w:tcPr>
            <w:tcW w:w="22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guarantees and others</w:t>
            </w:r>
          </w:p>
        </w:tc>
      </w:tr>
      <w:tr>
        <w:trPr>
          <w:trHeight w:val="216"/>
        </w:trPr>
        <w:tc>
          <w:tcPr>
            <w:tcW w:w="6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KDB Bank</w:t>
            </w:r>
          </w:p>
        </w:tc>
        <w:tc>
          <w:tcPr>
            <w:tcW w:w="138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8"/>
                <w:szCs w:val="18"/>
                <w:color w:val="auto"/>
                <w:w w:val="99"/>
              </w:rPr>
              <w:t>USD</w:t>
            </w: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P-BOND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5" w:lineRule="exact"/>
        <w:rPr>
          <w:sz w:val="20"/>
          <w:szCs w:val="20"/>
          <w:color w:val="auto"/>
        </w:rPr>
      </w:pPr>
    </w:p>
    <w:p>
      <w:pPr>
        <w:ind w:left="340" w:right="20" w:hanging="332"/>
        <w:spacing w:after="0" w:line="282" w:lineRule="auto"/>
        <w:tabs>
          <w:tab w:leader="none" w:pos="34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full amount of the membership contributions has been pledged as collateral, and the guarantee limit as of December 31, 2025 amounts to Korean won 29,629,898 thousand (see Notes 6 and 10).</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Commitments with Financial Institutions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Details of commitments entered into by the Group with financial institutions as of December 31, 2025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50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Financial Institution</w:t>
            </w: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Currency</w:t>
            </w:r>
          </w:p>
        </w:tc>
        <w:tc>
          <w:tcPr>
            <w:tcW w:w="136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Credit Limit</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Drawn</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20" w:type="dxa"/>
            <w:vAlign w:val="bottom"/>
            <w:gridSpan w:val="2"/>
          </w:tcPr>
          <w:p>
            <w:pPr>
              <w:ind w:left="56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87"/>
        </w:trPr>
        <w:tc>
          <w:tcPr>
            <w:tcW w:w="280" w:type="dxa"/>
            <w:vAlign w:val="bottom"/>
            <w:tcBorders>
              <w:top w:val="single" w:sz="8" w:color="auto"/>
            </w:tcBorders>
          </w:tcPr>
          <w:p>
            <w:pPr>
              <w:spacing w:after="0"/>
              <w:rPr>
                <w:sz w:val="16"/>
                <w:szCs w:val="16"/>
                <w:color w:val="auto"/>
              </w:rPr>
            </w:pPr>
          </w:p>
        </w:tc>
        <w:tc>
          <w:tcPr>
            <w:tcW w:w="2540" w:type="dxa"/>
            <w:vAlign w:val="bottom"/>
            <w:tcBorders>
              <w:top w:val="single" w:sz="8" w:color="auto"/>
            </w:tcBorders>
          </w:tcPr>
          <w:p>
            <w:pPr>
              <w:spacing w:after="0"/>
              <w:rPr>
                <w:sz w:val="16"/>
                <w:szCs w:val="16"/>
                <w:color w:val="auto"/>
              </w:rPr>
            </w:pPr>
          </w:p>
        </w:tc>
        <w:tc>
          <w:tcPr>
            <w:tcW w:w="21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380" w:type="dxa"/>
            <w:vAlign w:val="bottom"/>
            <w:tcBorders>
              <w:top w:val="single" w:sz="8" w:color="auto"/>
            </w:tcBorders>
            <w:gridSpan w:val="2"/>
          </w:tcPr>
          <w:p>
            <w:pPr>
              <w:jc w:val="center"/>
              <w:ind w:left="10"/>
              <w:spacing w:after="0" w:line="188" w:lineRule="exact"/>
              <w:rPr>
                <w:sz w:val="20"/>
                <w:szCs w:val="20"/>
                <w:color w:val="auto"/>
              </w:rPr>
            </w:pPr>
            <w:r>
              <w:rPr>
                <w:rFonts w:ascii="Times New Roman" w:cs="Times New Roman" w:eastAsia="Times New Roman" w:hAnsi="Times New Roman"/>
                <w:sz w:val="18"/>
                <w:szCs w:val="18"/>
                <w:b w:val="1"/>
                <w:bCs w:val="1"/>
                <w:color w:val="auto"/>
                <w:w w:val="99"/>
              </w:rPr>
              <w:t>(In thousands of Korean won</w:t>
            </w:r>
          </w:p>
        </w:tc>
        <w:tc>
          <w:tcPr>
            <w:tcW w:w="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28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rPr>
              <w:t>and USD)</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50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KDB Bank</w:t>
            </w:r>
          </w:p>
        </w:tc>
        <w:tc>
          <w:tcPr>
            <w:tcW w:w="136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KRW</w:t>
            </w:r>
          </w:p>
        </w:tc>
        <w:tc>
          <w:tcPr>
            <w:tcW w:w="13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5,000,000</w:t>
            </w:r>
          </w:p>
        </w:tc>
        <w:tc>
          <w:tcPr>
            <w:tcW w:w="10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9"/>
              </w:rPr>
              <w:t>-</w:t>
            </w:r>
          </w:p>
        </w:tc>
        <w:tc>
          <w:tcPr>
            <w:tcW w:w="222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Credit line</w:t>
            </w:r>
          </w:p>
        </w:tc>
      </w:tr>
      <w:tr>
        <w:trPr>
          <w:trHeight w:val="216"/>
        </w:trPr>
        <w:tc>
          <w:tcPr>
            <w:tcW w:w="50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Shinhan Bank</w:t>
            </w: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KRW</w:t>
            </w: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3,000,000</w:t>
            </w:r>
          </w:p>
        </w:tc>
        <w:tc>
          <w:tcPr>
            <w:tcW w:w="1020" w:type="dxa"/>
            <w:vAlign w:val="bottom"/>
          </w:tcPr>
          <w:p>
            <w:pPr>
              <w:spacing w:after="0"/>
              <w:rPr>
                <w:sz w:val="18"/>
                <w:szCs w:val="18"/>
                <w:color w:val="auto"/>
              </w:rPr>
            </w:pPr>
          </w:p>
        </w:tc>
        <w:tc>
          <w:tcPr>
            <w:tcW w:w="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9"/>
              </w:rPr>
              <w:t>-</w:t>
            </w:r>
          </w:p>
        </w:tc>
        <w:tc>
          <w:tcPr>
            <w:tcW w:w="22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Credit line</w:t>
            </w:r>
          </w:p>
        </w:tc>
      </w:tr>
      <w:tr>
        <w:trPr>
          <w:trHeight w:val="216"/>
        </w:trPr>
        <w:tc>
          <w:tcPr>
            <w:tcW w:w="50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Shinhan Bank</w:t>
            </w:r>
          </w:p>
        </w:tc>
        <w:tc>
          <w:tcPr>
            <w:tcW w:w="136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9"/>
              </w:rPr>
              <w:t>USD</w:t>
            </w:r>
          </w:p>
        </w:tc>
        <w:tc>
          <w:tcPr>
            <w:tcW w:w="13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3,000,000</w:t>
            </w:r>
          </w:p>
        </w:tc>
        <w:tc>
          <w:tcPr>
            <w:tcW w:w="10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9"/>
              </w:rPr>
              <w:t>-</w:t>
            </w:r>
          </w:p>
        </w:tc>
        <w:tc>
          <w:tcPr>
            <w:tcW w:w="222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USANCE (*)</w:t>
            </w:r>
          </w:p>
        </w:tc>
      </w:tr>
      <w:tr>
        <w:trPr>
          <w:trHeight w:val="216"/>
        </w:trPr>
        <w:tc>
          <w:tcPr>
            <w:tcW w:w="50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Hana Bank</w:t>
            </w: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KRW</w:t>
            </w: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1,000,000</w:t>
            </w:r>
          </w:p>
        </w:tc>
        <w:tc>
          <w:tcPr>
            <w:tcW w:w="1020" w:type="dxa"/>
            <w:vAlign w:val="bottom"/>
          </w:tcPr>
          <w:p>
            <w:pPr>
              <w:spacing w:after="0"/>
              <w:rPr>
                <w:sz w:val="18"/>
                <w:szCs w:val="18"/>
                <w:color w:val="auto"/>
              </w:rPr>
            </w:pPr>
          </w:p>
        </w:tc>
        <w:tc>
          <w:tcPr>
            <w:tcW w:w="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9"/>
              </w:rPr>
              <w:t>-</w:t>
            </w:r>
          </w:p>
        </w:tc>
        <w:tc>
          <w:tcPr>
            <w:tcW w:w="22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Credit line</w:t>
            </w:r>
          </w:p>
        </w:tc>
      </w:tr>
      <w:tr>
        <w:trPr>
          <w:trHeight w:val="216"/>
        </w:trPr>
        <w:tc>
          <w:tcPr>
            <w:tcW w:w="50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KB Kookmin Bank</w:t>
            </w:r>
          </w:p>
        </w:tc>
        <w:tc>
          <w:tcPr>
            <w:tcW w:w="136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KRW</w:t>
            </w:r>
          </w:p>
        </w:tc>
        <w:tc>
          <w:tcPr>
            <w:tcW w:w="13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900,000</w:t>
            </w:r>
          </w:p>
        </w:tc>
        <w:tc>
          <w:tcPr>
            <w:tcW w:w="10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9"/>
              </w:rPr>
              <w:t>-</w:t>
            </w:r>
          </w:p>
        </w:tc>
        <w:tc>
          <w:tcPr>
            <w:tcW w:w="222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Credit line</w:t>
            </w:r>
          </w:p>
        </w:tc>
      </w:tr>
      <w:tr>
        <w:trPr>
          <w:trHeight w:val="198"/>
        </w:trPr>
        <w:tc>
          <w:tcPr>
            <w:tcW w:w="5080" w:type="dxa"/>
            <w:vAlign w:val="bottom"/>
            <w:gridSpan w:val="4"/>
          </w:tcPr>
          <w:p>
            <w:pPr>
              <w:spacing w:after="0" w:line="198" w:lineRule="exact"/>
              <w:rPr>
                <w:sz w:val="20"/>
                <w:szCs w:val="20"/>
                <w:color w:val="auto"/>
              </w:rPr>
            </w:pPr>
            <w:r>
              <w:rPr>
                <w:rFonts w:ascii="Times New Roman" w:cs="Times New Roman" w:eastAsia="Times New Roman" w:hAnsi="Times New Roman"/>
                <w:sz w:val="18"/>
                <w:szCs w:val="18"/>
                <w:color w:val="auto"/>
              </w:rPr>
              <w:t>Industrial Bank of Korea</w:t>
            </w:r>
          </w:p>
        </w:tc>
        <w:tc>
          <w:tcPr>
            <w:tcW w:w="1360" w:type="dxa"/>
            <w:vAlign w:val="bottom"/>
            <w:gridSpan w:val="2"/>
          </w:tcPr>
          <w:p>
            <w:pPr>
              <w:jc w:val="center"/>
              <w:ind w:right="220"/>
              <w:spacing w:after="0" w:line="198" w:lineRule="exact"/>
              <w:rPr>
                <w:sz w:val="20"/>
                <w:szCs w:val="20"/>
                <w:color w:val="auto"/>
              </w:rPr>
            </w:pPr>
            <w:r>
              <w:rPr>
                <w:rFonts w:ascii="Times New Roman" w:cs="Times New Roman" w:eastAsia="Times New Roman" w:hAnsi="Times New Roman"/>
                <w:sz w:val="18"/>
                <w:szCs w:val="18"/>
                <w:color w:val="auto"/>
                <w:w w:val="99"/>
              </w:rPr>
              <w:t>KRW</w:t>
            </w:r>
          </w:p>
        </w:tc>
        <w:tc>
          <w:tcPr>
            <w:tcW w:w="13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20" w:type="dxa"/>
            <w:vAlign w:val="bottom"/>
            <w:gridSpan w:val="3"/>
          </w:tcPr>
          <w:p>
            <w:pPr>
              <w:ind w:left="100"/>
              <w:spacing w:after="0" w:line="198" w:lineRule="exact"/>
              <w:rPr>
                <w:sz w:val="20"/>
                <w:szCs w:val="20"/>
                <w:color w:val="auto"/>
              </w:rPr>
            </w:pPr>
            <w:r>
              <w:rPr>
                <w:rFonts w:ascii="Times New Roman" w:cs="Times New Roman" w:eastAsia="Times New Roman" w:hAnsi="Times New Roman"/>
                <w:sz w:val="18"/>
                <w:szCs w:val="18"/>
                <w:color w:val="auto"/>
              </w:rPr>
              <w:t>Electronic accounts</w:t>
            </w:r>
          </w:p>
        </w:tc>
      </w:tr>
      <w:tr>
        <w:trPr>
          <w:trHeight w:val="234"/>
        </w:trPr>
        <w:tc>
          <w:tcPr>
            <w:tcW w:w="28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2,000,000</w:t>
            </w:r>
          </w:p>
        </w:tc>
        <w:tc>
          <w:tcPr>
            <w:tcW w:w="1020" w:type="dxa"/>
            <w:vAlign w:val="bottom"/>
          </w:tcPr>
          <w:p>
            <w:pPr>
              <w:spacing w:after="0"/>
              <w:rPr>
                <w:sz w:val="20"/>
                <w:szCs w:val="20"/>
                <w:color w:val="auto"/>
              </w:rPr>
            </w:pPr>
          </w:p>
        </w:tc>
        <w:tc>
          <w:tcPr>
            <w:tcW w:w="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9"/>
              </w:rPr>
              <w:t>-</w:t>
            </w:r>
          </w:p>
        </w:tc>
        <w:tc>
          <w:tcPr>
            <w:tcW w:w="22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receivable financing</w:t>
            </w:r>
          </w:p>
        </w:tc>
      </w:tr>
      <w:tr>
        <w:trPr>
          <w:trHeight w:val="216"/>
        </w:trPr>
        <w:tc>
          <w:tcPr>
            <w:tcW w:w="28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tcPr>
          <w:p>
            <w:pPr>
              <w:spacing w:after="0"/>
              <w:rPr>
                <w:sz w:val="18"/>
                <w:szCs w:val="18"/>
                <w:color w:val="auto"/>
              </w:rPr>
            </w:pPr>
          </w:p>
        </w:tc>
        <w:tc>
          <w:tcPr>
            <w:tcW w:w="2260" w:type="dxa"/>
            <w:vAlign w:val="bottom"/>
            <w:gridSpan w:val="2"/>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80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This relates to supplier finance arrangements (see Note 14).</w:t>
            </w: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w:t>
            </w:r>
          </w:p>
        </w:tc>
        <w:tc>
          <w:tcPr>
            <w:tcW w:w="480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Shareholders’ Agreement</w:t>
            </w: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Group has entered into a shareholders’ agreement with certain related parties (existing shareholders) in connection with its subsidiary, Stickers Corporation Co., Ltd. Under the agreement, the Group holds pre-emptive rights and tag-along rights on certain shareholders’ equity interests under the same terms and conditions, while certain shareholders hold similar rights with respect to the Group.</w:t>
      </w:r>
    </w:p>
    <w:p>
      <w:pPr>
        <w:spacing w:after="0" w:line="172"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E.</w:t>
      </w:r>
      <w:r>
        <w:rPr>
          <w:sz w:val="20"/>
          <w:szCs w:val="20"/>
          <w:color w:val="auto"/>
        </w:rPr>
        <w:tab/>
      </w:r>
      <w:r>
        <w:rPr>
          <w:rFonts w:ascii="Times New Roman" w:cs="Times New Roman" w:eastAsia="Times New Roman" w:hAnsi="Times New Roman"/>
          <w:sz w:val="17"/>
          <w:szCs w:val="17"/>
          <w:b w:val="1"/>
          <w:bCs w:val="1"/>
          <w:color w:val="auto"/>
        </w:rPr>
        <w:t>Change in Major Shareholder</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largest shareholder of the parent company, Hansol Holdings Co., Ltd., entered into a share purchase agreement on December 19, 2025 to dispose of 34.00% of its ownership interest in the parent company to Playverse Co., Ltd. The transaction was completed on March 10, 2026 (refer to the disclosure titled “Execution of Share Transfer Agreement Accompanied by Change in Largest Shareholder” filed on the Financial Supervisory Service’s electronic disclosure system on December 19, 2025).</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58" w:name="page59"/>
    <w:bookmarkEnd w:id="58"/>
    <w:p>
      <w:pPr>
        <w:ind w:left="10320"/>
        <w:spacing w:after="0"/>
        <w:rPr>
          <w:sz w:val="20"/>
          <w:szCs w:val="20"/>
          <w:color w:val="auto"/>
        </w:rPr>
      </w:pPr>
      <w:r>
        <w:rPr>
          <w:rFonts w:ascii="Times New Roman" w:cs="Times New Roman" w:eastAsia="Times New Roman" w:hAnsi="Times New Roman"/>
          <w:sz w:val="17"/>
          <w:szCs w:val="17"/>
          <w:b w:val="1"/>
          <w:bCs w:val="1"/>
          <w:color w:val="auto"/>
        </w:rPr>
        <w:t>Exhibit 99.2</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FINANCIAL INFORMATION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Summary of Transaction</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December 19, 2025, Playverse Co. Ltd. (“Playverse”), an indirect wholly owned subsidiary of K Wave Media Ltd. (the “Company”), entered into a Share Purchase Agreement (the “Purchase Agreement”) with Hansol Holdings Co., Ltd., Lee Mi-sung and Cho Hyun-seung (collectively, the “Sellers”), pursuant to which Playverse agreed to purchase from the Sellers and the Sellers agreed to sell to Playverse an aggregate of 5,864,088 shares common stock (the “Purchased Shares”) of Hansol Inticube Co., an AI language and software development company with core capabilities in AI contact center solutions, voice recognition, chatbots, smart solutions and platform technologies (“Hansol”).</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Shares represent approximately 42.25% of the outstanding shares of common stock of Hansol. Pursuant to the Purchase Agreement, the aggregate purchase price for the Shares pursuant to was KRW15,000,337,104 (the “Hansol Acquisition”). The Purchase Agreement contains customary representations, warranties and covenants by the parties and customary indemnification obligations of the parties.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 Forma Information</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unaudited pro forma condensed combined financial statements have been prepared in accordance with Article 11 of Regulation S-X under the Securities Act of 1933, as amended by the final rule, Release No.33-10786 “</w:t>
      </w:r>
      <w:r>
        <w:rPr>
          <w:rFonts w:ascii="Times New Roman" w:cs="Times New Roman" w:eastAsia="Times New Roman" w:hAnsi="Times New Roman"/>
          <w:sz w:val="18"/>
          <w:szCs w:val="18"/>
          <w:i w:val="1"/>
          <w:iCs w:val="1"/>
          <w:color w:val="auto"/>
        </w:rPr>
        <w:t>Amendments to Financial Disclosures about Acquired and Disposed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Businesses,</w:t>
      </w:r>
      <w:r>
        <w:rPr>
          <w:rFonts w:ascii="Times New Roman" w:cs="Times New Roman" w:eastAsia="Times New Roman" w:hAnsi="Times New Roman"/>
          <w:sz w:val="18"/>
          <w:szCs w:val="18"/>
          <w:color w:val="auto"/>
        </w:rPr>
        <w:t>” and have been adjusted to include estimated transaction accounting adjustments which give effect to the Hansol Acquisition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application of the acquisition method of accounting under IFRS. Under the acquisition method of accounting, the preliminary purchase price is allocated to the underlying tangible and intangible assets acquired and liabilities assumed based on their estimated fair values as of the acquisition date, with any excess purchase price allocated to goodwill. The pro forma adjustments are based on preliminary estimates and currently available information and assumptions that the Company’s management believes are reasonable. The notes to the unaudited pro forma condensed combined financial statements provide a discussion of how such adjustments were derived and presented in the unaudited pro forma condensed combined financial statements (“Acquisition Adjustments”). Changes in facts and circumstances or discovery of new information may result in revised estimates. Actual results and valuations may differ materially from the assumptions within the accompanying unaudited pro forma condensed combined financial information.</w:t>
      </w:r>
    </w:p>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accompanying unaudited pro forma condensed combined statements of operations for the year ended December 31, 2025 combine the historical consolidated statements of operations for K Wave and the historical statements of operations for Hansol for the same period.</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unaudited pro forma condensed combined statement of financial position as of December 31, 2025 gives effect to the Hansol Acquisition as if it occurred on December 31, 2025. The unaudited pro forma condensed combined statements of operations for the year ended December 31, 2025 give effect to the Acquisition as if it occurred on January 1, 2025.</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unaudited pro forma condensed combined financial statements are for illustrative and informational purposes only and are not intended to represent what the Company’s results of operations or financial position would have been had the Acquisition occurred on the dates indicated, or what they will be for any future periods. The unaudited pro forma condensed combined financial statements do not reflect the realization of any expected cost savings, other synergies as a result of the acquisition, or integration costs.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unaudited pro forma condensed combined financial statements and related notes have been derived from, and should be read in conjunction with:</w:t>
      </w:r>
    </w:p>
    <w:p>
      <w:pPr>
        <w:spacing w:after="0" w:line="225" w:lineRule="exact"/>
        <w:rPr>
          <w:sz w:val="20"/>
          <w:szCs w:val="20"/>
          <w:color w:val="auto"/>
        </w:rPr>
      </w:pPr>
    </w:p>
    <w:p>
      <w:pPr>
        <w:ind w:left="340" w:hanging="332"/>
        <w:spacing w:after="0" w:line="282" w:lineRule="auto"/>
        <w:tabs>
          <w:tab w:leader="none" w:pos="34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audited consolidated financial statements of K Wave and accompanying notes included in K Wave’s Annual Report on Form 20-F for the year ended December 31, 2025, which was filed with the Securities and Exchange Commission (“SEC”) on May 15, 2026;</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audited financial statements of Hansol and accompanying notes for the years ended December 31, 2025, appearing within this Current Report on Form 6-K as Exhibit 99.1.</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9" w:name="page60"/>
    <w:bookmarkEnd w:id="59"/>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 WAVE MEDIA LTD.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Statement of Financial Position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December 31, 2025</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In</w:t>
            </w: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In</w:t>
            </w: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thousands of</w:t>
            </w:r>
          </w:p>
        </w:tc>
        <w:tc>
          <w:tcPr>
            <w:tcW w:w="400" w:type="dxa"/>
            <w:vAlign w:val="bottom"/>
          </w:tcPr>
          <w:p>
            <w:pPr>
              <w:spacing w:after="0"/>
              <w:rPr>
                <w:sz w:val="18"/>
                <w:szCs w:val="18"/>
                <w:color w:val="auto"/>
              </w:rPr>
            </w:pPr>
          </w:p>
        </w:tc>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In</w:t>
            </w:r>
          </w:p>
        </w:tc>
        <w:tc>
          <w:tcPr>
            <w:tcW w:w="400" w:type="dxa"/>
            <w:vAlign w:val="bottom"/>
          </w:tcPr>
          <w:p>
            <w:pPr>
              <w:spacing w:after="0"/>
              <w:rPr>
                <w:sz w:val="18"/>
                <w:szCs w:val="18"/>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thousands of</w:t>
            </w: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In</w:t>
            </w:r>
          </w:p>
        </w:tc>
      </w:tr>
      <w:tr>
        <w:trPr>
          <w:trHeight w:val="216"/>
        </w:trPr>
        <w:tc>
          <w:tcPr>
            <w:tcW w:w="4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KRW</w:t>
            </w:r>
          </w:p>
        </w:tc>
        <w:tc>
          <w:tcPr>
            <w:tcW w:w="40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thousands of</w:t>
            </w:r>
          </w:p>
        </w:tc>
        <w:tc>
          <w:tcPr>
            <w:tcW w:w="400" w:type="dxa"/>
            <w:vAlign w:val="bottom"/>
          </w:tcPr>
          <w:p>
            <w:pPr>
              <w:spacing w:after="0"/>
              <w:rPr>
                <w:sz w:val="18"/>
                <w:szCs w:val="18"/>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KRW</w:t>
            </w: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thousands of</w:t>
            </w:r>
          </w:p>
        </w:tc>
      </w:tr>
      <w:tr>
        <w:trPr>
          <w:trHeight w:val="216"/>
        </w:trPr>
        <w:tc>
          <w:tcPr>
            <w:tcW w:w="4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K Wave</w:t>
            </w:r>
          </w:p>
        </w:tc>
        <w:tc>
          <w:tcPr>
            <w:tcW w:w="400" w:type="dxa"/>
            <w:vAlign w:val="bottom"/>
          </w:tcPr>
          <w:p>
            <w:pPr>
              <w:spacing w:after="0"/>
              <w:rPr>
                <w:sz w:val="18"/>
                <w:szCs w:val="18"/>
                <w:color w:val="auto"/>
              </w:rPr>
            </w:pPr>
          </w:p>
        </w:tc>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KRW Hansol</w:t>
            </w:r>
          </w:p>
        </w:tc>
        <w:tc>
          <w:tcPr>
            <w:tcW w:w="400" w:type="dxa"/>
            <w:vAlign w:val="bottom"/>
          </w:tcPr>
          <w:p>
            <w:pPr>
              <w:spacing w:after="0"/>
              <w:rPr>
                <w:sz w:val="18"/>
                <w:szCs w:val="18"/>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Transaction</w:t>
            </w: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KRW Pro</w:t>
            </w:r>
          </w:p>
        </w:tc>
      </w:tr>
      <w:tr>
        <w:trPr>
          <w:trHeight w:val="216"/>
        </w:trPr>
        <w:tc>
          <w:tcPr>
            <w:tcW w:w="4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400" w:type="dxa"/>
            <w:vAlign w:val="bottom"/>
          </w:tcPr>
          <w:p>
            <w:pPr>
              <w:spacing w:after="0"/>
              <w:rPr>
                <w:sz w:val="18"/>
                <w:szCs w:val="18"/>
                <w:color w:val="auto"/>
              </w:rPr>
            </w:pP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400" w:type="dxa"/>
            <w:vAlign w:val="bottom"/>
          </w:tcPr>
          <w:p>
            <w:pPr>
              <w:spacing w:after="0"/>
              <w:rPr>
                <w:sz w:val="18"/>
                <w:szCs w:val="18"/>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Note</w:t>
            </w:r>
          </w:p>
        </w:tc>
        <w:tc>
          <w:tcPr>
            <w:tcW w:w="500" w:type="dxa"/>
            <w:vAlign w:val="bottom"/>
          </w:tcPr>
          <w:p>
            <w:pPr>
              <w:spacing w:after="0"/>
              <w:rPr>
                <w:sz w:val="18"/>
                <w:szCs w:val="18"/>
                <w:color w:val="auto"/>
              </w:rPr>
            </w:pP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Forma</w:t>
            </w:r>
          </w:p>
        </w:tc>
      </w:tr>
      <w:tr>
        <w:trPr>
          <w:trHeight w:val="238"/>
        </w:trPr>
        <w:tc>
          <w:tcPr>
            <w:tcW w:w="4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(Note 4)</w:t>
            </w: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Ref</w:t>
            </w:r>
          </w:p>
        </w:tc>
        <w:tc>
          <w:tcPr>
            <w:tcW w:w="500" w:type="dxa"/>
            <w:vAlign w:val="bottom"/>
          </w:tcPr>
          <w:p>
            <w:pPr>
              <w:spacing w:after="0"/>
              <w:rPr>
                <w:sz w:val="20"/>
                <w:szCs w:val="20"/>
                <w:color w:val="auto"/>
              </w:rPr>
            </w:pP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Combined</w:t>
            </w:r>
          </w:p>
        </w:tc>
      </w:tr>
      <w:tr>
        <w:trPr>
          <w:trHeight w:val="209"/>
        </w:trPr>
        <w:tc>
          <w:tcPr>
            <w:tcW w:w="4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5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5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5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8,364,432</w:t>
            </w:r>
          </w:p>
        </w:tc>
        <w:tc>
          <w:tcPr>
            <w:tcW w:w="4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2,295,359</w:t>
            </w:r>
          </w:p>
        </w:tc>
        <w:tc>
          <w:tcPr>
            <w:tcW w:w="4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(11,999,970)</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3C</w:t>
            </w:r>
          </w:p>
        </w:tc>
        <w:tc>
          <w:tcPr>
            <w:tcW w:w="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7,525,846</w:t>
            </w:r>
          </w:p>
        </w:tc>
      </w:tr>
      <w:tr>
        <w:trPr>
          <w:trHeight w:val="216"/>
        </w:trPr>
        <w:tc>
          <w:tcPr>
            <w:tcW w:w="4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5,000,000</w:t>
            </w: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3F</w:t>
            </w:r>
          </w:p>
        </w:tc>
        <w:tc>
          <w:tcPr>
            <w:tcW w:w="5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2,500,000</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3G</w:t>
            </w:r>
          </w:p>
        </w:tc>
        <w:tc>
          <w:tcPr>
            <w:tcW w:w="5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1,366,025</w:t>
            </w: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3H</w:t>
            </w:r>
          </w:p>
        </w:tc>
        <w:tc>
          <w:tcPr>
            <w:tcW w:w="5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financial assets</w:t>
            </w:r>
          </w:p>
        </w:tc>
        <w:tc>
          <w:tcPr>
            <w:tcW w:w="5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21,560</w:t>
            </w:r>
          </w:p>
        </w:tc>
        <w:tc>
          <w:tcPr>
            <w:tcW w:w="4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5,837</w:t>
            </w:r>
          </w:p>
        </w:tc>
        <w:tc>
          <w:tcPr>
            <w:tcW w:w="4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27,397</w:t>
            </w:r>
          </w:p>
        </w:tc>
      </w:tr>
      <w:tr>
        <w:trPr>
          <w:trHeight w:val="21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 trade, net</w:t>
            </w:r>
          </w:p>
        </w:tc>
        <w:tc>
          <w:tcPr>
            <w:tcW w:w="5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4,380,886</w:t>
            </w:r>
          </w:p>
        </w:tc>
        <w:tc>
          <w:tcPr>
            <w:tcW w:w="4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11,294,244</w:t>
            </w:r>
          </w:p>
        </w:tc>
        <w:tc>
          <w:tcPr>
            <w:tcW w:w="40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15,675,130</w:t>
            </w:r>
          </w:p>
        </w:tc>
      </w:tr>
      <w:tr>
        <w:trPr>
          <w:trHeight w:val="216"/>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loans, net</w:t>
            </w:r>
          </w:p>
        </w:tc>
        <w:tc>
          <w:tcPr>
            <w:tcW w:w="5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3,427,400</w:t>
            </w:r>
          </w:p>
        </w:tc>
        <w:tc>
          <w:tcPr>
            <w:tcW w:w="4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3,427,400</w:t>
            </w:r>
          </w:p>
        </w:tc>
      </w:tr>
      <w:tr>
        <w:trPr>
          <w:trHeight w:val="21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 other, net</w:t>
            </w:r>
          </w:p>
        </w:tc>
        <w:tc>
          <w:tcPr>
            <w:tcW w:w="5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536,134</w:t>
            </w:r>
          </w:p>
        </w:tc>
        <w:tc>
          <w:tcPr>
            <w:tcW w:w="4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536,134</w:t>
            </w:r>
          </w:p>
        </w:tc>
      </w:tr>
      <w:tr>
        <w:trPr>
          <w:trHeight w:val="216"/>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Value added tax receivables</w:t>
            </w:r>
          </w:p>
        </w:tc>
        <w:tc>
          <w:tcPr>
            <w:tcW w:w="5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162,558</w:t>
            </w:r>
          </w:p>
        </w:tc>
        <w:tc>
          <w:tcPr>
            <w:tcW w:w="4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162,558</w:t>
            </w:r>
          </w:p>
        </w:tc>
      </w:tr>
      <w:tr>
        <w:trPr>
          <w:trHeight w:val="21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asset</w:t>
            </w:r>
          </w:p>
        </w:tc>
        <w:tc>
          <w:tcPr>
            <w:tcW w:w="5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5,844,544</w:t>
            </w:r>
          </w:p>
        </w:tc>
        <w:tc>
          <w:tcPr>
            <w:tcW w:w="4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5,844,544</w:t>
            </w:r>
          </w:p>
        </w:tc>
      </w:tr>
      <w:tr>
        <w:trPr>
          <w:trHeight w:val="216"/>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assets</w:t>
            </w:r>
          </w:p>
        </w:tc>
        <w:tc>
          <w:tcPr>
            <w:tcW w:w="5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1,065,645</w:t>
            </w:r>
          </w:p>
        </w:tc>
        <w:tc>
          <w:tcPr>
            <w:tcW w:w="4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3,815,286</w:t>
            </w:r>
          </w:p>
        </w:tc>
        <w:tc>
          <w:tcPr>
            <w:tcW w:w="4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4,880,931</w:t>
            </w:r>
          </w:p>
        </w:tc>
      </w:tr>
      <w:tr>
        <w:trPr>
          <w:trHeight w:val="21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Current tax assets</w:t>
            </w:r>
          </w:p>
        </w:tc>
        <w:tc>
          <w:tcPr>
            <w:tcW w:w="5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45,228</w:t>
            </w:r>
          </w:p>
        </w:tc>
        <w:tc>
          <w:tcPr>
            <w:tcW w:w="4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w:t>
            </w:r>
          </w:p>
        </w:tc>
        <w:tc>
          <w:tcPr>
            <w:tcW w:w="40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45,274</w:t>
            </w:r>
          </w:p>
        </w:tc>
      </w:tr>
      <w:tr>
        <w:trPr>
          <w:trHeight w:val="216"/>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Inventories, net</w:t>
            </w:r>
          </w:p>
        </w:tc>
        <w:tc>
          <w:tcPr>
            <w:tcW w:w="5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1,612,302</w:t>
            </w:r>
          </w:p>
        </w:tc>
        <w:tc>
          <w:tcPr>
            <w:tcW w:w="4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901,244</w:t>
            </w:r>
          </w:p>
        </w:tc>
        <w:tc>
          <w:tcPr>
            <w:tcW w:w="4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2,513,546</w:t>
            </w:r>
          </w:p>
        </w:tc>
      </w:tr>
      <w:tr>
        <w:trPr>
          <w:trHeight w:val="21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5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735,110</w:t>
            </w:r>
          </w:p>
        </w:tc>
        <w:tc>
          <w:tcPr>
            <w:tcW w:w="4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4,357,183</w:t>
            </w:r>
          </w:p>
        </w:tc>
        <w:tc>
          <w:tcPr>
            <w:tcW w:w="4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(3,000,367)</w:t>
            </w: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3C</w:t>
            </w:r>
          </w:p>
        </w:tc>
        <w:tc>
          <w:tcPr>
            <w:tcW w:w="5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2,091,926</w:t>
            </w:r>
          </w:p>
        </w:tc>
      </w:tr>
      <w:tr>
        <w:trPr>
          <w:trHeight w:val="210"/>
        </w:trPr>
        <w:tc>
          <w:tcPr>
            <w:tcW w:w="4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5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26,195,799</w:t>
            </w: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22,669,199</w:t>
            </w: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(6,134,312)</w:t>
            </w:r>
          </w:p>
        </w:tc>
        <w:tc>
          <w:tcPr>
            <w:tcW w:w="2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42,730,686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Long-term financial instruments</w:t>
            </w:r>
          </w:p>
        </w:tc>
        <w:tc>
          <w:tcPr>
            <w:tcW w:w="5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310,908</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310,908</w:t>
            </w:r>
          </w:p>
        </w:tc>
        <w:tc>
          <w:tcPr>
            <w:tcW w:w="100" w:type="dxa"/>
            <w:vAlign w:val="bottom"/>
          </w:tcPr>
          <w:p>
            <w:pPr>
              <w:spacing w:after="0"/>
              <w:rPr>
                <w:sz w:val="18"/>
                <w:szCs w:val="18"/>
                <w:color w:val="auto"/>
              </w:rPr>
            </w:pPr>
          </w:p>
        </w:tc>
      </w:tr>
      <w:tr>
        <w:trPr>
          <w:trHeight w:val="216"/>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loans, net</w:t>
            </w:r>
          </w:p>
        </w:tc>
        <w:tc>
          <w:tcPr>
            <w:tcW w:w="5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191,023</w:t>
            </w:r>
          </w:p>
        </w:tc>
        <w:tc>
          <w:tcPr>
            <w:tcW w:w="4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191,023</w:t>
            </w:r>
          </w:p>
        </w:tc>
      </w:tr>
      <w:tr>
        <w:trPr>
          <w:trHeight w:val="21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Long-term other receivables</w:t>
            </w:r>
          </w:p>
        </w:tc>
        <w:tc>
          <w:tcPr>
            <w:tcW w:w="5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595,593</w:t>
            </w:r>
          </w:p>
        </w:tc>
        <w:tc>
          <w:tcPr>
            <w:tcW w:w="40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595,593</w:t>
            </w:r>
          </w:p>
        </w:tc>
      </w:tr>
      <w:tr>
        <w:trPr>
          <w:trHeight w:val="216"/>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assets at fair value through profit or loss</w:t>
            </w:r>
          </w:p>
        </w:tc>
        <w:tc>
          <w:tcPr>
            <w:tcW w:w="5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1,005,980</w:t>
            </w:r>
          </w:p>
        </w:tc>
        <w:tc>
          <w:tcPr>
            <w:tcW w:w="4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1,005,980</w:t>
            </w:r>
          </w:p>
        </w:tc>
      </w:tr>
      <w:tr>
        <w:trPr>
          <w:trHeight w:val="21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Long-term investment securities</w:t>
            </w:r>
          </w:p>
        </w:tc>
        <w:tc>
          <w:tcPr>
            <w:tcW w:w="5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3,983,858</w:t>
            </w:r>
          </w:p>
        </w:tc>
        <w:tc>
          <w:tcPr>
            <w:tcW w:w="4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3,983,858</w:t>
            </w:r>
          </w:p>
        </w:tc>
      </w:tr>
      <w:tr>
        <w:trPr>
          <w:trHeight w:val="216"/>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 in associates</w:t>
            </w:r>
          </w:p>
        </w:tc>
        <w:tc>
          <w:tcPr>
            <w:tcW w:w="5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587,278</w:t>
            </w:r>
          </w:p>
        </w:tc>
        <w:tc>
          <w:tcPr>
            <w:tcW w:w="4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15,000,337</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3C</w:t>
            </w:r>
          </w:p>
        </w:tc>
        <w:tc>
          <w:tcPr>
            <w:tcW w:w="5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587,278</w:t>
            </w:r>
          </w:p>
        </w:tc>
      </w:tr>
      <w:tr>
        <w:trPr>
          <w:trHeight w:val="216"/>
        </w:trPr>
        <w:tc>
          <w:tcPr>
            <w:tcW w:w="4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(15,000,337)</w:t>
            </w: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3D</w:t>
            </w:r>
          </w:p>
        </w:tc>
        <w:tc>
          <w:tcPr>
            <w:tcW w:w="5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including right-of-use assets</w:t>
            </w:r>
          </w:p>
        </w:tc>
        <w:tc>
          <w:tcPr>
            <w:tcW w:w="5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7,055,228</w:t>
            </w:r>
          </w:p>
        </w:tc>
        <w:tc>
          <w:tcPr>
            <w:tcW w:w="4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2,266,306</w:t>
            </w:r>
          </w:p>
        </w:tc>
        <w:tc>
          <w:tcPr>
            <w:tcW w:w="4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9,321,534</w:t>
            </w:r>
          </w:p>
        </w:tc>
      </w:tr>
      <w:tr>
        <w:trPr>
          <w:trHeight w:val="21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other than goodwill</w:t>
            </w:r>
          </w:p>
        </w:tc>
        <w:tc>
          <w:tcPr>
            <w:tcW w:w="5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17,178,097</w:t>
            </w:r>
          </w:p>
        </w:tc>
        <w:tc>
          <w:tcPr>
            <w:tcW w:w="4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3,761,304</w:t>
            </w:r>
          </w:p>
        </w:tc>
        <w:tc>
          <w:tcPr>
            <w:tcW w:w="40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11,700,000</w:t>
            </w: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3A</w:t>
            </w:r>
          </w:p>
        </w:tc>
        <w:tc>
          <w:tcPr>
            <w:tcW w:w="5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21,479,466</w:t>
            </w:r>
          </w:p>
        </w:tc>
      </w:tr>
      <w:tr>
        <w:trPr>
          <w:trHeight w:val="216"/>
        </w:trPr>
        <w:tc>
          <w:tcPr>
            <w:tcW w:w="4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(11,159,935)</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3H</w:t>
            </w:r>
          </w:p>
        </w:tc>
        <w:tc>
          <w:tcPr>
            <w:tcW w:w="5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5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60,617,031</w:t>
            </w:r>
          </w:p>
        </w:tc>
        <w:tc>
          <w:tcPr>
            <w:tcW w:w="4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5,437,640</w:t>
            </w: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3B</w:t>
            </w:r>
          </w:p>
        </w:tc>
        <w:tc>
          <w:tcPr>
            <w:tcW w:w="5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66,054,671</w:t>
            </w:r>
          </w:p>
        </w:tc>
      </w:tr>
      <w:tr>
        <w:trPr>
          <w:trHeight w:val="216"/>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properties</w:t>
            </w:r>
          </w:p>
        </w:tc>
        <w:tc>
          <w:tcPr>
            <w:tcW w:w="5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2,023,317</w:t>
            </w:r>
          </w:p>
        </w:tc>
        <w:tc>
          <w:tcPr>
            <w:tcW w:w="4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2,023,317</w:t>
            </w:r>
          </w:p>
        </w:tc>
      </w:tr>
      <w:tr>
        <w:trPr>
          <w:trHeight w:val="21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5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369,646</w:t>
            </w:r>
          </w:p>
        </w:tc>
        <w:tc>
          <w:tcPr>
            <w:tcW w:w="40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369,646</w:t>
            </w:r>
          </w:p>
        </w:tc>
      </w:tr>
      <w:tr>
        <w:trPr>
          <w:trHeight w:val="216"/>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financial assets</w:t>
            </w:r>
          </w:p>
        </w:tc>
        <w:tc>
          <w:tcPr>
            <w:tcW w:w="5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2,180,055</w:t>
            </w:r>
          </w:p>
        </w:tc>
        <w:tc>
          <w:tcPr>
            <w:tcW w:w="4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2,180,055</w:t>
            </w:r>
          </w:p>
        </w:tc>
      </w:tr>
      <w:tr>
        <w:trPr>
          <w:trHeight w:val="21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non-financial assets</w:t>
            </w:r>
          </w:p>
        </w:tc>
        <w:tc>
          <w:tcPr>
            <w:tcW w:w="5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4,393,482</w:t>
            </w:r>
          </w:p>
        </w:tc>
        <w:tc>
          <w:tcPr>
            <w:tcW w:w="4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4,393,482</w:t>
            </w:r>
          </w:p>
        </w:tc>
      </w:tr>
      <w:tr>
        <w:trPr>
          <w:trHeight w:val="216"/>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5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1,016,960</w:t>
            </w:r>
          </w:p>
        </w:tc>
        <w:tc>
          <w:tcPr>
            <w:tcW w:w="4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2,282,216</w:t>
            </w:r>
          </w:p>
        </w:tc>
        <w:tc>
          <w:tcPr>
            <w:tcW w:w="4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3,299,176</w:t>
            </w:r>
          </w:p>
        </w:tc>
      </w:tr>
      <w:tr>
        <w:trPr>
          <w:trHeight w:val="250"/>
        </w:trPr>
        <w:tc>
          <w:tcPr>
            <w:tcW w:w="41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54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125,733,036</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32,950,244</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(156,607)</w:t>
            </w:r>
          </w:p>
        </w:tc>
        <w:tc>
          <w:tcPr>
            <w:tcW w:w="220" w:type="dxa"/>
            <w:vAlign w:val="bottom"/>
            <w:tcBorders>
              <w:bottom w:val="single" w:sz="8" w:color="CCEEFF"/>
            </w:tcBorders>
          </w:tcPr>
          <w:p>
            <w:pPr>
              <w:spacing w:after="0"/>
              <w:rPr>
                <w:sz w:val="21"/>
                <w:szCs w:val="21"/>
                <w:color w:val="auto"/>
              </w:rPr>
            </w:pPr>
          </w:p>
        </w:tc>
        <w:tc>
          <w:tcPr>
            <w:tcW w:w="540" w:type="dxa"/>
            <w:vAlign w:val="bottom"/>
            <w:tcBorders>
              <w:bottom w:val="single" w:sz="8" w:color="CCEEFF"/>
            </w:tcBorders>
          </w:tcPr>
          <w:p>
            <w:pPr>
              <w:spacing w:after="0"/>
              <w:rPr>
                <w:sz w:val="21"/>
                <w:szCs w:val="21"/>
                <w:color w:val="auto"/>
              </w:rPr>
            </w:pPr>
          </w:p>
        </w:tc>
        <w:tc>
          <w:tcPr>
            <w:tcW w:w="50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158,526,673</w:t>
            </w:r>
          </w:p>
        </w:tc>
        <w:tc>
          <w:tcPr>
            <w:tcW w:w="100" w:type="dxa"/>
            <w:vAlign w:val="bottom"/>
            <w:tcBorders>
              <w:bottom w:val="single" w:sz="8" w:color="CCEEFF"/>
            </w:tcBorders>
          </w:tcPr>
          <w:p>
            <w:pPr>
              <w:spacing w:after="0"/>
              <w:rPr>
                <w:sz w:val="21"/>
                <w:szCs w:val="21"/>
                <w:color w:val="auto"/>
              </w:rPr>
            </w:pPr>
          </w:p>
        </w:tc>
      </w:tr>
      <w:tr>
        <w:trPr>
          <w:trHeight w:val="196"/>
        </w:trPr>
        <w:tc>
          <w:tcPr>
            <w:tcW w:w="4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4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 (deficit)</w:t>
            </w:r>
          </w:p>
        </w:tc>
        <w:tc>
          <w:tcPr>
            <w:tcW w:w="5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5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Trade and other payables</w:t>
            </w:r>
          </w:p>
        </w:tc>
        <w:tc>
          <w:tcPr>
            <w:tcW w:w="540" w:type="dxa"/>
            <w:vAlign w:val="bottom"/>
          </w:tcPr>
          <w:p>
            <w:pPr>
              <w:ind w:left="2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58,040,411</w:t>
            </w:r>
          </w:p>
        </w:tc>
        <w:tc>
          <w:tcPr>
            <w:tcW w:w="400" w:type="dxa"/>
            <w:vAlign w:val="bottom"/>
          </w:tcPr>
          <w:p>
            <w:pPr>
              <w:ind w:left="1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9,725,482</w:t>
            </w:r>
          </w:p>
        </w:tc>
        <w:tc>
          <w:tcPr>
            <w:tcW w:w="400" w:type="dxa"/>
            <w:vAlign w:val="bottom"/>
          </w:tcPr>
          <w:p>
            <w:pPr>
              <w:ind w:left="1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45,000</w:t>
            </w: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3E</w:t>
            </w:r>
          </w:p>
        </w:tc>
        <w:tc>
          <w:tcPr>
            <w:tcW w:w="500" w:type="dxa"/>
            <w:vAlign w:val="bottom"/>
          </w:tcPr>
          <w:p>
            <w:pPr>
              <w:ind w:left="20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67,810,893</w:t>
            </w:r>
          </w:p>
        </w:tc>
      </w:tr>
      <w:tr>
        <w:trPr>
          <w:trHeight w:val="216"/>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financial liabilities</w:t>
            </w:r>
          </w:p>
        </w:tc>
        <w:tc>
          <w:tcPr>
            <w:tcW w:w="5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1,936,895</w:t>
            </w: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1,936,895</w:t>
            </w:r>
          </w:p>
        </w:tc>
      </w:tr>
      <w:tr>
        <w:trPr>
          <w:trHeight w:val="21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Current derivative liabilities</w:t>
            </w:r>
          </w:p>
        </w:tc>
        <w:tc>
          <w:tcPr>
            <w:tcW w:w="5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330,417</w:t>
            </w: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330,417</w:t>
            </w:r>
          </w:p>
        </w:tc>
      </w:tr>
      <w:tr>
        <w:trPr>
          <w:trHeight w:val="216"/>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w:t>
            </w:r>
          </w:p>
        </w:tc>
        <w:tc>
          <w:tcPr>
            <w:tcW w:w="5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528,772</w:t>
            </w: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528,772</w:t>
            </w:r>
          </w:p>
        </w:tc>
      </w:tr>
      <w:tr>
        <w:trPr>
          <w:trHeight w:val="21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non-financial liabilities</w:t>
            </w:r>
          </w:p>
        </w:tc>
        <w:tc>
          <w:tcPr>
            <w:tcW w:w="5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250,000</w:t>
            </w:r>
          </w:p>
        </w:tc>
        <w:tc>
          <w:tcPr>
            <w:tcW w:w="4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1,456,445</w:t>
            </w:r>
          </w:p>
        </w:tc>
        <w:tc>
          <w:tcPr>
            <w:tcW w:w="40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1,706,445</w:t>
            </w:r>
          </w:p>
        </w:tc>
      </w:tr>
      <w:tr>
        <w:trPr>
          <w:trHeight w:val="216"/>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liabilities</w:t>
            </w:r>
          </w:p>
        </w:tc>
        <w:tc>
          <w:tcPr>
            <w:tcW w:w="5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1,252,195</w:t>
            </w:r>
          </w:p>
        </w:tc>
        <w:tc>
          <w:tcPr>
            <w:tcW w:w="4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4,719,111</w:t>
            </w:r>
          </w:p>
        </w:tc>
        <w:tc>
          <w:tcPr>
            <w:tcW w:w="4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5,971,306</w:t>
            </w:r>
          </w:p>
        </w:tc>
      </w:tr>
      <w:tr>
        <w:trPr>
          <w:trHeight w:val="21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Short-term borrowings</w:t>
            </w:r>
          </w:p>
        </w:tc>
        <w:tc>
          <w:tcPr>
            <w:tcW w:w="5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11,171,899</w:t>
            </w:r>
          </w:p>
        </w:tc>
        <w:tc>
          <w:tcPr>
            <w:tcW w:w="4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5,000,000</w:t>
            </w: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3F</w:t>
            </w:r>
          </w:p>
        </w:tc>
        <w:tc>
          <w:tcPr>
            <w:tcW w:w="5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16,171,899</w:t>
            </w:r>
          </w:p>
        </w:tc>
      </w:tr>
      <w:tr>
        <w:trPr>
          <w:trHeight w:val="216"/>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portion of long-term borrowings, net</w:t>
            </w:r>
          </w:p>
        </w:tc>
        <w:tc>
          <w:tcPr>
            <w:tcW w:w="5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2,200,000</w:t>
            </w:r>
          </w:p>
        </w:tc>
        <w:tc>
          <w:tcPr>
            <w:tcW w:w="4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2,200,000</w:t>
            </w:r>
          </w:p>
        </w:tc>
      </w:tr>
      <w:tr>
        <w:trPr>
          <w:trHeight w:val="21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Convertible notes</w:t>
            </w:r>
          </w:p>
        </w:tc>
        <w:tc>
          <w:tcPr>
            <w:tcW w:w="5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28,634,020</w:t>
            </w:r>
          </w:p>
        </w:tc>
        <w:tc>
          <w:tcPr>
            <w:tcW w:w="4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(8,609,400)</w:t>
            </w: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3H</w:t>
            </w:r>
          </w:p>
        </w:tc>
        <w:tc>
          <w:tcPr>
            <w:tcW w:w="5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15,883,288</w:t>
            </w:r>
          </w:p>
        </w:tc>
      </w:tr>
      <w:tr>
        <w:trPr>
          <w:trHeight w:val="216"/>
        </w:trPr>
        <w:tc>
          <w:tcPr>
            <w:tcW w:w="4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(4,141,332)</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3I</w:t>
            </w:r>
          </w:p>
        </w:tc>
        <w:tc>
          <w:tcPr>
            <w:tcW w:w="5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Current lease liabilities</w:t>
            </w:r>
          </w:p>
        </w:tc>
        <w:tc>
          <w:tcPr>
            <w:tcW w:w="5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1,702,300</w:t>
            </w:r>
          </w:p>
        </w:tc>
        <w:tc>
          <w:tcPr>
            <w:tcW w:w="4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769,706</w:t>
            </w:r>
          </w:p>
        </w:tc>
        <w:tc>
          <w:tcPr>
            <w:tcW w:w="40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2,472,006</w:t>
            </w:r>
          </w:p>
        </w:tc>
      </w:tr>
      <w:tr>
        <w:trPr>
          <w:trHeight w:val="216"/>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provisions</w:t>
            </w:r>
          </w:p>
        </w:tc>
        <w:tc>
          <w:tcPr>
            <w:tcW w:w="5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769,693</w:t>
            </w:r>
          </w:p>
        </w:tc>
        <w:tc>
          <w:tcPr>
            <w:tcW w:w="4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432,507</w:t>
            </w:r>
          </w:p>
        </w:tc>
        <w:tc>
          <w:tcPr>
            <w:tcW w:w="4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1,202,200</w:t>
            </w:r>
          </w:p>
        </w:tc>
      </w:tr>
      <w:tr>
        <w:trPr>
          <w:trHeight w:val="21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Current tax liabilities</w:t>
            </w:r>
          </w:p>
        </w:tc>
        <w:tc>
          <w:tcPr>
            <w:tcW w:w="5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1,634,666</w:t>
            </w:r>
          </w:p>
        </w:tc>
        <w:tc>
          <w:tcPr>
            <w:tcW w:w="4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1,619</w:t>
            </w:r>
          </w:p>
        </w:tc>
        <w:tc>
          <w:tcPr>
            <w:tcW w:w="40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1,636,285</w:t>
            </w:r>
          </w:p>
        </w:tc>
      </w:tr>
      <w:tr>
        <w:trPr>
          <w:trHeight w:val="209"/>
        </w:trPr>
        <w:tc>
          <w:tcPr>
            <w:tcW w:w="4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5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108,451,268</w:t>
            </w: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17,104,870</w:t>
            </w: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(7,705,732)</w:t>
            </w:r>
          </w:p>
        </w:tc>
        <w:tc>
          <w:tcPr>
            <w:tcW w:w="2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117,850,406</w:t>
            </w:r>
          </w:p>
        </w:tc>
        <w:tc>
          <w:tcPr>
            <w:tcW w:w="100" w:type="dxa"/>
            <w:vAlign w:val="bottom"/>
            <w:tcBorders>
              <w:top w:val="single" w:sz="8" w:color="CCEEFF"/>
            </w:tcBorders>
            <w:shd w:val="clear" w:color="auto" w:fill="CCEEFF"/>
          </w:tcPr>
          <w:p>
            <w:pPr>
              <w:spacing w:after="0"/>
              <w:rPr>
                <w:sz w:val="18"/>
                <w:szCs w:val="18"/>
                <w:color w:val="auto"/>
              </w:rPr>
            </w:pPr>
          </w:p>
        </w:tc>
      </w:tr>
      <w:tr>
        <w:trPr>
          <w:trHeight w:val="209"/>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Trade and other non-current payables</w:t>
            </w:r>
          </w:p>
        </w:tc>
        <w:tc>
          <w:tcPr>
            <w:tcW w:w="5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27,297,393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27,297,393</w:t>
            </w:r>
          </w:p>
        </w:tc>
        <w:tc>
          <w:tcPr>
            <w:tcW w:w="100" w:type="dxa"/>
            <w:vAlign w:val="bottom"/>
          </w:tcPr>
          <w:p>
            <w:pPr>
              <w:spacing w:after="0"/>
              <w:rPr>
                <w:sz w:val="18"/>
                <w:szCs w:val="18"/>
                <w:color w:val="auto"/>
              </w:rPr>
            </w:pPr>
          </w:p>
        </w:tc>
      </w:tr>
      <w:tr>
        <w:trPr>
          <w:trHeight w:val="216"/>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borrowings, excluding current portion, net</w:t>
            </w:r>
          </w:p>
        </w:tc>
        <w:tc>
          <w:tcPr>
            <w:tcW w:w="5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2,611,563</w:t>
            </w:r>
          </w:p>
        </w:tc>
        <w:tc>
          <w:tcPr>
            <w:tcW w:w="4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2,611,563</w:t>
            </w:r>
          </w:p>
        </w:tc>
      </w:tr>
      <w:tr>
        <w:trPr>
          <w:trHeight w:val="21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financial liabilities</w:t>
            </w:r>
          </w:p>
        </w:tc>
        <w:tc>
          <w:tcPr>
            <w:tcW w:w="5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220,000</w:t>
            </w:r>
          </w:p>
        </w:tc>
        <w:tc>
          <w:tcPr>
            <w:tcW w:w="4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220,000</w:t>
            </w:r>
          </w:p>
        </w:tc>
      </w:tr>
      <w:tr>
        <w:trPr>
          <w:trHeight w:val="216"/>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non-financial liabilities</w:t>
            </w:r>
          </w:p>
        </w:tc>
        <w:tc>
          <w:tcPr>
            <w:tcW w:w="5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2,565</w:t>
            </w:r>
          </w:p>
        </w:tc>
        <w:tc>
          <w:tcPr>
            <w:tcW w:w="4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2,565</w:t>
            </w:r>
          </w:p>
        </w:tc>
      </w:tr>
      <w:tr>
        <w:trPr>
          <w:trHeight w:val="21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Non-current Contract liabilities</w:t>
            </w:r>
          </w:p>
        </w:tc>
        <w:tc>
          <w:tcPr>
            <w:tcW w:w="5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650,000</w:t>
            </w:r>
          </w:p>
        </w:tc>
        <w:tc>
          <w:tcPr>
            <w:tcW w:w="4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854,835</w:t>
            </w:r>
          </w:p>
        </w:tc>
        <w:tc>
          <w:tcPr>
            <w:tcW w:w="40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1,504,835</w:t>
            </w:r>
          </w:p>
        </w:tc>
      </w:tr>
      <w:tr>
        <w:trPr>
          <w:trHeight w:val="216"/>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Defined benefit liabilities</w:t>
            </w:r>
          </w:p>
        </w:tc>
        <w:tc>
          <w:tcPr>
            <w:tcW w:w="5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1,257,693</w:t>
            </w: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1,257,693</w:t>
            </w:r>
          </w:p>
        </w:tc>
      </w:tr>
      <w:tr>
        <w:trPr>
          <w:trHeight w:val="21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long-term employee benefits</w:t>
            </w:r>
          </w:p>
        </w:tc>
        <w:tc>
          <w:tcPr>
            <w:tcW w:w="5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176,138</w:t>
            </w:r>
          </w:p>
        </w:tc>
        <w:tc>
          <w:tcPr>
            <w:tcW w:w="40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176,138</w:t>
            </w:r>
          </w:p>
        </w:tc>
      </w:tr>
      <w:tr>
        <w:trPr>
          <w:trHeight w:val="216"/>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liabilities</w:t>
            </w:r>
          </w:p>
        </w:tc>
        <w:tc>
          <w:tcPr>
            <w:tcW w:w="5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861,164</w:t>
            </w:r>
          </w:p>
        </w:tc>
        <w:tc>
          <w:tcPr>
            <w:tcW w:w="4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861,164</w:t>
            </w:r>
          </w:p>
        </w:tc>
      </w:tr>
      <w:tr>
        <w:trPr>
          <w:trHeight w:val="21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provisions</w:t>
            </w:r>
          </w:p>
        </w:tc>
        <w:tc>
          <w:tcPr>
            <w:tcW w:w="5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455,822</w:t>
            </w:r>
          </w:p>
        </w:tc>
        <w:tc>
          <w:tcPr>
            <w:tcW w:w="4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173,498</w:t>
            </w:r>
          </w:p>
        </w:tc>
        <w:tc>
          <w:tcPr>
            <w:tcW w:w="40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629,320</w:t>
            </w:r>
          </w:p>
        </w:tc>
      </w:tr>
      <w:tr>
        <w:trPr>
          <w:trHeight w:val="216"/>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lease liabilities</w:t>
            </w:r>
          </w:p>
        </w:tc>
        <w:tc>
          <w:tcPr>
            <w:tcW w:w="5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6,268,969</w:t>
            </w:r>
          </w:p>
        </w:tc>
        <w:tc>
          <w:tcPr>
            <w:tcW w:w="4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272,137</w:t>
            </w:r>
          </w:p>
        </w:tc>
        <w:tc>
          <w:tcPr>
            <w:tcW w:w="4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6,541,106</w:t>
            </w:r>
          </w:p>
        </w:tc>
      </w:tr>
    </w:tbl>
    <w:p>
      <w:pPr>
        <w:sectPr>
          <w:pgSz w:w="11900" w:h="16878" w:orient="portrait"/>
          <w:cols w:equalWidth="0" w:num="1">
            <w:col w:w="11240"/>
          </w:cols>
          <w:pgMar w:left="320" w:top="765" w:right="339" w:bottom="0" w:gutter="0" w:footer="0" w:header="0"/>
        </w:sectPr>
      </w:pPr>
    </w:p>
    <w:bookmarkStart w:id="60" w:name="page61"/>
    <w:bookmarkEnd w:id="6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620" w:type="dxa"/>
            <w:vAlign w:val="bottom"/>
          </w:tcPr>
          <w:p>
            <w:pPr>
              <w:spacing w:after="0"/>
              <w:rPr>
                <w:sz w:val="20"/>
                <w:szCs w:val="20"/>
                <w:color w:val="auto"/>
              </w:rPr>
            </w:pPr>
          </w:p>
        </w:tc>
        <w:tc>
          <w:tcPr>
            <w:tcW w:w="1600" w:type="dxa"/>
            <w:vAlign w:val="bottom"/>
            <w:gridSpan w:val="2"/>
          </w:tcPr>
          <w:p>
            <w:pPr>
              <w:jc w:val="right"/>
              <w:ind w:right="410"/>
              <w:spacing w:after="0"/>
              <w:rPr>
                <w:sz w:val="20"/>
                <w:szCs w:val="20"/>
                <w:color w:val="auto"/>
              </w:rPr>
            </w:pPr>
            <w:r>
              <w:rPr>
                <w:rFonts w:ascii="Times New Roman" w:cs="Times New Roman" w:eastAsia="Times New Roman" w:hAnsi="Times New Roman"/>
                <w:sz w:val="18"/>
                <w:szCs w:val="18"/>
                <w:color w:val="auto"/>
              </w:rPr>
              <w:t>125,759</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2,574,000</w:t>
            </w:r>
          </w:p>
        </w:tc>
        <w:tc>
          <w:tcPr>
            <w:tcW w:w="1040" w:type="dxa"/>
            <w:vAlign w:val="bottom"/>
          </w:tcPr>
          <w:p>
            <w:pPr>
              <w:spacing w:after="0"/>
              <w:rPr>
                <w:sz w:val="20"/>
                <w:szCs w:val="20"/>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2,699,759</w:t>
            </w:r>
          </w:p>
        </w:tc>
      </w:tr>
      <w:tr>
        <w:trPr>
          <w:trHeight w:val="209"/>
        </w:trPr>
        <w:tc>
          <w:tcPr>
            <w:tcW w:w="4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6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147,341,032</w:t>
            </w:r>
          </w:p>
        </w:tc>
        <w:tc>
          <w:tcPr>
            <w:tcW w:w="50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19,442,642</w:t>
            </w:r>
          </w:p>
        </w:tc>
        <w:tc>
          <w:tcPr>
            <w:tcW w:w="1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(5,131,732)</w:t>
            </w:r>
          </w:p>
        </w:tc>
        <w:tc>
          <w:tcPr>
            <w:tcW w:w="2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161,651,942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4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Stockholders’ equity (deficit)</w:t>
            </w:r>
          </w:p>
        </w:tc>
        <w:tc>
          <w:tcPr>
            <w:tcW w:w="6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capital</w:t>
            </w:r>
          </w:p>
        </w:tc>
        <w:tc>
          <w:tcPr>
            <w:tcW w:w="6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9,077</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6,939,761</w:t>
            </w: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(6,939,761)</w:t>
            </w:r>
          </w:p>
        </w:tc>
        <w:tc>
          <w:tcPr>
            <w:tcW w:w="1040" w:type="dxa"/>
            <w:vAlign w:val="bottom"/>
            <w:shd w:val="clear" w:color="auto" w:fill="CCEEFF"/>
          </w:tcPr>
          <w:p>
            <w:pPr>
              <w:jc w:val="center"/>
              <w:ind w:right="410"/>
              <w:spacing w:after="0"/>
              <w:rPr>
                <w:sz w:val="20"/>
                <w:szCs w:val="20"/>
                <w:color w:val="auto"/>
              </w:rPr>
            </w:pPr>
            <w:r>
              <w:rPr>
                <w:rFonts w:ascii="Times New Roman" w:cs="Times New Roman" w:eastAsia="Times New Roman" w:hAnsi="Times New Roman"/>
                <w:sz w:val="18"/>
                <w:szCs w:val="18"/>
                <w:b w:val="1"/>
                <w:bCs w:val="1"/>
                <w:color w:val="auto"/>
                <w:w w:val="99"/>
              </w:rPr>
              <w:t>3D</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10,049</w:t>
            </w:r>
          </w:p>
        </w:tc>
      </w:tr>
      <w:tr>
        <w:trPr>
          <w:trHeight w:val="216"/>
        </w:trPr>
        <w:tc>
          <w:tcPr>
            <w:tcW w:w="40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972</w:t>
            </w:r>
          </w:p>
        </w:tc>
        <w:tc>
          <w:tcPr>
            <w:tcW w:w="1040" w:type="dxa"/>
            <w:vAlign w:val="bottom"/>
          </w:tcPr>
          <w:p>
            <w:pPr>
              <w:jc w:val="center"/>
              <w:ind w:right="430"/>
              <w:spacing w:after="0"/>
              <w:rPr>
                <w:sz w:val="20"/>
                <w:szCs w:val="20"/>
                <w:color w:val="auto"/>
              </w:rPr>
            </w:pPr>
            <w:r>
              <w:rPr>
                <w:rFonts w:ascii="Times New Roman" w:cs="Times New Roman" w:eastAsia="Times New Roman" w:hAnsi="Times New Roman"/>
                <w:sz w:val="18"/>
                <w:szCs w:val="18"/>
                <w:b w:val="1"/>
                <w:bCs w:val="1"/>
                <w:color w:val="auto"/>
                <w:w w:val="99"/>
              </w:rPr>
              <w:t>3I</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premium</w:t>
            </w:r>
          </w:p>
        </w:tc>
        <w:tc>
          <w:tcPr>
            <w:tcW w:w="6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205,980,674</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4,140,360</w:t>
            </w:r>
          </w:p>
        </w:tc>
        <w:tc>
          <w:tcPr>
            <w:tcW w:w="1040" w:type="dxa"/>
            <w:vAlign w:val="bottom"/>
            <w:shd w:val="clear" w:color="auto" w:fill="CCEEFF"/>
          </w:tcPr>
          <w:p>
            <w:pPr>
              <w:jc w:val="center"/>
              <w:ind w:right="430"/>
              <w:spacing w:after="0"/>
              <w:rPr>
                <w:sz w:val="20"/>
                <w:szCs w:val="20"/>
                <w:color w:val="auto"/>
              </w:rPr>
            </w:pPr>
            <w:r>
              <w:rPr>
                <w:rFonts w:ascii="Times New Roman" w:cs="Times New Roman" w:eastAsia="Times New Roman" w:hAnsi="Times New Roman"/>
                <w:sz w:val="18"/>
                <w:szCs w:val="18"/>
                <w:b w:val="1"/>
                <w:bCs w:val="1"/>
                <w:color w:val="auto"/>
                <w:w w:val="99"/>
              </w:rPr>
              <w:t>3I</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210,121,034</w:t>
            </w: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620" w:type="dxa"/>
            <w:vAlign w:val="bottom"/>
          </w:tcPr>
          <w:p>
            <w:pPr>
              <w:spacing w:after="0"/>
              <w:rPr>
                <w:sz w:val="18"/>
                <w:szCs w:val="18"/>
                <w:color w:val="auto"/>
              </w:rPr>
            </w:pPr>
          </w:p>
        </w:tc>
        <w:tc>
          <w:tcPr>
            <w:tcW w:w="1600" w:type="dxa"/>
            <w:vAlign w:val="bottom"/>
            <w:gridSpan w:val="2"/>
          </w:tcPr>
          <w:p>
            <w:pPr>
              <w:jc w:val="right"/>
              <w:ind w:right="350"/>
              <w:spacing w:after="0"/>
              <w:rPr>
                <w:sz w:val="20"/>
                <w:szCs w:val="20"/>
                <w:color w:val="auto"/>
              </w:rPr>
            </w:pPr>
            <w:r>
              <w:rPr>
                <w:rFonts w:ascii="Times New Roman" w:cs="Times New Roman" w:eastAsia="Times New Roman" w:hAnsi="Times New Roman"/>
                <w:sz w:val="18"/>
                <w:szCs w:val="18"/>
                <w:color w:val="auto"/>
              </w:rPr>
              <w:t>(4,447,032)</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(4,447,032)</w:t>
            </w:r>
          </w:p>
        </w:tc>
      </w:tr>
      <w:tr>
        <w:trPr>
          <w:trHeight w:val="21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reserves</w:t>
            </w:r>
          </w:p>
        </w:tc>
        <w:tc>
          <w:tcPr>
            <w:tcW w:w="6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(53,073,717)</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10,436,120</w:t>
            </w: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(10,436,120)</w:t>
            </w:r>
          </w:p>
        </w:tc>
        <w:tc>
          <w:tcPr>
            <w:tcW w:w="1040" w:type="dxa"/>
            <w:vAlign w:val="bottom"/>
            <w:shd w:val="clear" w:color="auto" w:fill="CCEEFF"/>
          </w:tcPr>
          <w:p>
            <w:pPr>
              <w:jc w:val="center"/>
              <w:ind w:right="410"/>
              <w:spacing w:after="0"/>
              <w:rPr>
                <w:sz w:val="20"/>
                <w:szCs w:val="20"/>
                <w:color w:val="auto"/>
              </w:rPr>
            </w:pPr>
            <w:r>
              <w:rPr>
                <w:rFonts w:ascii="Times New Roman" w:cs="Times New Roman" w:eastAsia="Times New Roman" w:hAnsi="Times New Roman"/>
                <w:sz w:val="18"/>
                <w:szCs w:val="18"/>
                <w:b w:val="1"/>
                <w:bCs w:val="1"/>
                <w:color w:val="auto"/>
                <w:w w:val="99"/>
              </w:rPr>
              <w:t>3D</w:t>
            </w:r>
          </w:p>
        </w:tc>
        <w:tc>
          <w:tcPr>
            <w:tcW w:w="1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(51,409,433)</w:t>
            </w:r>
          </w:p>
        </w:tc>
      </w:tr>
      <w:tr>
        <w:trPr>
          <w:trHeight w:val="216"/>
        </w:trPr>
        <w:tc>
          <w:tcPr>
            <w:tcW w:w="40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1,664,284</w:t>
            </w:r>
          </w:p>
        </w:tc>
        <w:tc>
          <w:tcPr>
            <w:tcW w:w="1040" w:type="dxa"/>
            <w:vAlign w:val="bottom"/>
          </w:tcPr>
          <w:p>
            <w:pPr>
              <w:jc w:val="center"/>
              <w:ind w:right="410"/>
              <w:spacing w:after="0"/>
              <w:rPr>
                <w:sz w:val="20"/>
                <w:szCs w:val="20"/>
                <w:color w:val="auto"/>
              </w:rPr>
            </w:pPr>
            <w:r>
              <w:rPr>
                <w:rFonts w:ascii="Times New Roman" w:cs="Times New Roman" w:eastAsia="Times New Roman" w:hAnsi="Times New Roman"/>
                <w:sz w:val="18"/>
                <w:szCs w:val="18"/>
                <w:b w:val="1"/>
                <w:bCs w:val="1"/>
                <w:color w:val="auto"/>
                <w:w w:val="95"/>
              </w:rPr>
              <w:t>3G</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6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(169,783,492)</w:t>
            </w: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(4,346,337)</w:t>
            </w: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4,346,337</w:t>
            </w:r>
          </w:p>
        </w:tc>
        <w:tc>
          <w:tcPr>
            <w:tcW w:w="1040" w:type="dxa"/>
            <w:vAlign w:val="bottom"/>
            <w:shd w:val="clear" w:color="auto" w:fill="CCEEFF"/>
          </w:tcPr>
          <w:p>
            <w:pPr>
              <w:jc w:val="center"/>
              <w:ind w:right="410"/>
              <w:spacing w:after="0"/>
              <w:rPr>
                <w:sz w:val="20"/>
                <w:szCs w:val="20"/>
                <w:color w:val="auto"/>
              </w:rPr>
            </w:pPr>
            <w:r>
              <w:rPr>
                <w:rFonts w:ascii="Times New Roman" w:cs="Times New Roman" w:eastAsia="Times New Roman" w:hAnsi="Times New Roman"/>
                <w:sz w:val="18"/>
                <w:szCs w:val="18"/>
                <w:b w:val="1"/>
                <w:bCs w:val="1"/>
                <w:color w:val="auto"/>
                <w:w w:val="99"/>
              </w:rPr>
              <w:t>3D</w:t>
            </w:r>
          </w:p>
        </w:tc>
        <w:tc>
          <w:tcPr>
            <w:tcW w:w="1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(171,013,002)</w:t>
            </w:r>
          </w:p>
        </w:tc>
      </w:tr>
      <w:tr>
        <w:trPr>
          <w:trHeight w:val="216"/>
        </w:trPr>
        <w:tc>
          <w:tcPr>
            <w:tcW w:w="40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(45,000)</w:t>
            </w:r>
          </w:p>
        </w:tc>
        <w:tc>
          <w:tcPr>
            <w:tcW w:w="1040" w:type="dxa"/>
            <w:vAlign w:val="bottom"/>
          </w:tcPr>
          <w:p>
            <w:pPr>
              <w:jc w:val="center"/>
              <w:ind w:right="410"/>
              <w:spacing w:after="0"/>
              <w:rPr>
                <w:sz w:val="20"/>
                <w:szCs w:val="20"/>
                <w:color w:val="auto"/>
              </w:rPr>
            </w:pPr>
            <w:r>
              <w:rPr>
                <w:rFonts w:ascii="Times New Roman" w:cs="Times New Roman" w:eastAsia="Times New Roman" w:hAnsi="Times New Roman"/>
                <w:sz w:val="18"/>
                <w:szCs w:val="18"/>
                <w:b w:val="1"/>
                <w:bCs w:val="1"/>
                <w:color w:val="auto"/>
              </w:rPr>
              <w:t>3E</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(1,184,510)</w:t>
            </w:r>
          </w:p>
        </w:tc>
        <w:tc>
          <w:tcPr>
            <w:tcW w:w="1040" w:type="dxa"/>
            <w:vAlign w:val="bottom"/>
            <w:shd w:val="clear" w:color="auto" w:fill="CCEEFF"/>
          </w:tcPr>
          <w:p>
            <w:pPr>
              <w:jc w:val="center"/>
              <w:ind w:right="410"/>
              <w:spacing w:after="0"/>
              <w:rPr>
                <w:sz w:val="20"/>
                <w:szCs w:val="20"/>
                <w:color w:val="auto"/>
              </w:rPr>
            </w:pPr>
            <w:r>
              <w:rPr>
                <w:rFonts w:ascii="Times New Roman" w:cs="Times New Roman" w:eastAsia="Times New Roman" w:hAnsi="Times New Roman"/>
                <w:sz w:val="18"/>
                <w:szCs w:val="18"/>
                <w:b w:val="1"/>
                <w:bCs w:val="1"/>
                <w:color w:val="auto"/>
                <w:w w:val="95"/>
              </w:rPr>
              <w:t>3H</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78"/>
        </w:trPr>
        <w:tc>
          <w:tcPr>
            <w:tcW w:w="406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Equity (deficit) attributable to owners of the Parent</w:t>
            </w:r>
          </w:p>
        </w:tc>
        <w:tc>
          <w:tcPr>
            <w:tcW w:w="620" w:type="dxa"/>
            <w:vAlign w:val="bottom"/>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500" w:type="dxa"/>
            <w:vAlign w:val="bottom"/>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34"/>
        </w:trPr>
        <w:tc>
          <w:tcPr>
            <w:tcW w:w="4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Company</w:t>
            </w:r>
          </w:p>
        </w:tc>
        <w:tc>
          <w:tcPr>
            <w:tcW w:w="620" w:type="dxa"/>
            <w:vAlign w:val="bottom"/>
          </w:tcPr>
          <w:p>
            <w:pPr>
              <w:spacing w:after="0"/>
              <w:rPr>
                <w:sz w:val="20"/>
                <w:szCs w:val="20"/>
                <w:color w:val="auto"/>
              </w:rPr>
            </w:pPr>
          </w:p>
        </w:tc>
        <w:tc>
          <w:tcPr>
            <w:tcW w:w="1600" w:type="dxa"/>
            <w:vAlign w:val="bottom"/>
            <w:gridSpan w:val="2"/>
          </w:tcPr>
          <w:p>
            <w:pPr>
              <w:jc w:val="right"/>
              <w:ind w:right="350"/>
              <w:spacing w:after="0"/>
              <w:rPr>
                <w:sz w:val="20"/>
                <w:szCs w:val="20"/>
                <w:color w:val="auto"/>
              </w:rPr>
            </w:pPr>
            <w:r>
              <w:rPr>
                <w:rFonts w:ascii="Times New Roman" w:cs="Times New Roman" w:eastAsia="Times New Roman" w:hAnsi="Times New Roman"/>
                <w:sz w:val="18"/>
                <w:szCs w:val="18"/>
                <w:color w:val="auto"/>
              </w:rPr>
              <w:t>(21,314,490)</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13,029,544</w:t>
            </w:r>
          </w:p>
        </w:tc>
        <w:tc>
          <w:tcPr>
            <w:tcW w:w="380" w:type="dxa"/>
            <w:vAlign w:val="bottom"/>
          </w:tcPr>
          <w:p>
            <w:pPr>
              <w:spacing w:after="0"/>
              <w:rPr>
                <w:sz w:val="20"/>
                <w:szCs w:val="20"/>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(8,453,438)</w:t>
            </w:r>
          </w:p>
        </w:tc>
        <w:tc>
          <w:tcPr>
            <w:tcW w:w="1040" w:type="dxa"/>
            <w:vAlign w:val="bottom"/>
          </w:tcPr>
          <w:p>
            <w:pPr>
              <w:spacing w:after="0"/>
              <w:rPr>
                <w:sz w:val="20"/>
                <w:szCs w:val="20"/>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(16,738,384)</w:t>
            </w:r>
          </w:p>
        </w:tc>
      </w:tr>
      <w:tr>
        <w:trPr>
          <w:trHeight w:val="21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w:t>
            </w:r>
          </w:p>
        </w:tc>
        <w:tc>
          <w:tcPr>
            <w:tcW w:w="6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(293,506)</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478,058</w:t>
            </w: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13,070,905</w:t>
            </w:r>
          </w:p>
        </w:tc>
        <w:tc>
          <w:tcPr>
            <w:tcW w:w="10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13,613,115</w:t>
            </w:r>
          </w:p>
        </w:tc>
      </w:tr>
      <w:tr>
        <w:trPr>
          <w:trHeight w:val="216"/>
        </w:trPr>
        <w:tc>
          <w:tcPr>
            <w:tcW w:w="40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(478,058)</w:t>
            </w:r>
          </w:p>
        </w:tc>
        <w:tc>
          <w:tcPr>
            <w:tcW w:w="1040" w:type="dxa"/>
            <w:vAlign w:val="bottom"/>
          </w:tcPr>
          <w:p>
            <w:pPr>
              <w:jc w:val="center"/>
              <w:ind w:right="410"/>
              <w:spacing w:after="0"/>
              <w:rPr>
                <w:sz w:val="20"/>
                <w:szCs w:val="20"/>
                <w:color w:val="auto"/>
              </w:rPr>
            </w:pPr>
            <w:r>
              <w:rPr>
                <w:rFonts w:ascii="Times New Roman" w:cs="Times New Roman" w:eastAsia="Times New Roman" w:hAnsi="Times New Roman"/>
                <w:sz w:val="18"/>
                <w:szCs w:val="18"/>
                <w:b w:val="1"/>
                <w:bCs w:val="1"/>
                <w:color w:val="auto"/>
                <w:w w:val="99"/>
              </w:rPr>
              <w:t>3D</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835,716</w:t>
            </w:r>
          </w:p>
        </w:tc>
        <w:tc>
          <w:tcPr>
            <w:tcW w:w="1040" w:type="dxa"/>
            <w:vAlign w:val="bottom"/>
            <w:shd w:val="clear" w:color="auto" w:fill="CCEEFF"/>
          </w:tcPr>
          <w:p>
            <w:pPr>
              <w:jc w:val="center"/>
              <w:ind w:right="410"/>
              <w:spacing w:after="0"/>
              <w:rPr>
                <w:sz w:val="20"/>
                <w:szCs w:val="20"/>
                <w:color w:val="auto"/>
              </w:rPr>
            </w:pPr>
            <w:r>
              <w:rPr>
                <w:rFonts w:ascii="Times New Roman" w:cs="Times New Roman" w:eastAsia="Times New Roman" w:hAnsi="Times New Roman"/>
                <w:sz w:val="18"/>
                <w:szCs w:val="18"/>
                <w:b w:val="1"/>
                <w:bCs w:val="1"/>
                <w:color w:val="auto"/>
                <w:w w:val="95"/>
              </w:rPr>
              <w:t>3G</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0"/>
        </w:trPr>
        <w:tc>
          <w:tcPr>
            <w:tcW w:w="4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stockholders’ equity (deficit)</w:t>
            </w:r>
          </w:p>
        </w:tc>
        <w:tc>
          <w:tcPr>
            <w:tcW w:w="620" w:type="dxa"/>
            <w:vAlign w:val="bottom"/>
            <w:tcBorders>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(21,607,996)</w:t>
            </w:r>
          </w:p>
        </w:tc>
        <w:tc>
          <w:tcPr>
            <w:tcW w:w="500" w:type="dxa"/>
            <w:vAlign w:val="bottom"/>
            <w:tcBorders>
              <w:bottom w:val="single" w:sz="8" w:color="CCEEFF"/>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13,507,602</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CCEEFF"/>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4,975,125</w:t>
            </w:r>
          </w:p>
        </w:tc>
        <w:tc>
          <w:tcPr>
            <w:tcW w:w="220" w:type="dxa"/>
            <w:vAlign w:val="bottom"/>
            <w:tcBorders>
              <w:bottom w:val="single" w:sz="8" w:color="CCEEFF"/>
            </w:tcBorders>
          </w:tcPr>
          <w:p>
            <w:pPr>
              <w:spacing w:after="0"/>
              <w:rPr>
                <w:sz w:val="18"/>
                <w:szCs w:val="18"/>
                <w:color w:val="auto"/>
              </w:rPr>
            </w:pPr>
          </w:p>
        </w:tc>
        <w:tc>
          <w:tcPr>
            <w:tcW w:w="1040" w:type="dxa"/>
            <w:vAlign w:val="bottom"/>
            <w:tcBorders>
              <w:bottom w:val="single" w:sz="8" w:color="CCEEFF"/>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(3,125,269)</w:t>
            </w:r>
          </w:p>
        </w:tc>
        <w:tc>
          <w:tcPr>
            <w:tcW w:w="100" w:type="dxa"/>
            <w:vAlign w:val="bottom"/>
            <w:tcBorders>
              <w:bottom w:val="single" w:sz="8" w:color="CCEEFF"/>
            </w:tcBorders>
          </w:tcPr>
          <w:p>
            <w:pPr>
              <w:spacing w:after="0"/>
              <w:rPr>
                <w:sz w:val="18"/>
                <w:szCs w:val="18"/>
                <w:color w:val="auto"/>
              </w:rPr>
            </w:pPr>
          </w:p>
        </w:tc>
      </w:tr>
      <w:tr>
        <w:trPr>
          <w:trHeight w:val="209"/>
        </w:trPr>
        <w:tc>
          <w:tcPr>
            <w:tcW w:w="4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 (deficit)</w:t>
            </w:r>
          </w:p>
        </w:tc>
        <w:tc>
          <w:tcPr>
            <w:tcW w:w="6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125,733,036</w:t>
            </w: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32,950,244</w:t>
            </w:r>
          </w:p>
        </w:tc>
        <w:tc>
          <w:tcPr>
            <w:tcW w:w="1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(156,607)</w:t>
            </w:r>
          </w:p>
        </w:tc>
        <w:tc>
          <w:tcPr>
            <w:tcW w:w="2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158,526,673</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
        </w:trPr>
        <w:tc>
          <w:tcPr>
            <w:tcW w:w="40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unaudited condensed combined pro forma financial information.</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jc w:val="center"/>
        <w:spacing w:after="0"/>
        <w:rPr>
          <w:sz w:val="20"/>
          <w:szCs w:val="20"/>
          <w:color w:val="auto"/>
        </w:rPr>
      </w:pPr>
      <w:r>
        <w:rPr>
          <w:rFonts w:ascii="Times New Roman" w:cs="Times New Roman" w:eastAsia="Times New Roman" w:hAnsi="Times New Roman"/>
          <w:sz w:val="18"/>
          <w:szCs w:val="18"/>
          <w:b w:val="1"/>
          <w:bCs w:val="1"/>
          <w:color w:val="auto"/>
        </w:rPr>
        <w:t>K WAVE MEDIA LTD.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Statement of Operations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 Ended December 31, 2025</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gridSpan w:val="2"/>
          </w:tcPr>
          <w:p>
            <w:pPr>
              <w:jc w:val="center"/>
              <w:ind w:right="61"/>
              <w:spacing w:after="0"/>
              <w:rPr>
                <w:sz w:val="20"/>
                <w:szCs w:val="20"/>
                <w:color w:val="auto"/>
              </w:rPr>
            </w:pPr>
            <w:r>
              <w:rPr>
                <w:rFonts w:ascii="Times New Roman" w:cs="Times New Roman" w:eastAsia="Times New Roman" w:hAnsi="Times New Roman"/>
                <w:sz w:val="18"/>
                <w:szCs w:val="18"/>
                <w:b w:val="1"/>
                <w:bCs w:val="1"/>
                <w:color w:val="auto"/>
                <w:w w:val="93"/>
              </w:rPr>
              <w:t>In</w:t>
            </w: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In</w:t>
            </w: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3"/>
              </w:rPr>
              <w:t>In</w:t>
            </w: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gridSpan w:val="2"/>
          </w:tcPr>
          <w:p>
            <w:pPr>
              <w:jc w:val="center"/>
              <w:ind w:right="41"/>
              <w:spacing w:after="0"/>
              <w:rPr>
                <w:sz w:val="20"/>
                <w:szCs w:val="20"/>
                <w:color w:val="auto"/>
              </w:rPr>
            </w:pPr>
            <w:r>
              <w:rPr>
                <w:rFonts w:ascii="Times New Roman" w:cs="Times New Roman" w:eastAsia="Times New Roman" w:hAnsi="Times New Roman"/>
                <w:sz w:val="18"/>
                <w:szCs w:val="18"/>
                <w:b w:val="1"/>
                <w:bCs w:val="1"/>
                <w:color w:val="auto"/>
              </w:rPr>
              <w:t>thousands of</w:t>
            </w: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thousands of</w:t>
            </w:r>
          </w:p>
        </w:tc>
        <w:tc>
          <w:tcPr>
            <w:tcW w:w="320" w:type="dxa"/>
            <w:vAlign w:val="bottom"/>
          </w:tcPr>
          <w:p>
            <w:pPr>
              <w:spacing w:after="0"/>
              <w:rPr>
                <w:sz w:val="18"/>
                <w:szCs w:val="18"/>
                <w:color w:val="auto"/>
              </w:rPr>
            </w:pPr>
          </w:p>
        </w:tc>
        <w:tc>
          <w:tcPr>
            <w:tcW w:w="124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thousands of</w:t>
            </w: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gridSpan w:val="2"/>
          </w:tcPr>
          <w:p>
            <w:pPr>
              <w:jc w:val="center"/>
              <w:ind w:right="61"/>
              <w:spacing w:after="0"/>
              <w:rPr>
                <w:sz w:val="20"/>
                <w:szCs w:val="20"/>
                <w:color w:val="auto"/>
              </w:rPr>
            </w:pPr>
            <w:r>
              <w:rPr>
                <w:rFonts w:ascii="Times New Roman" w:cs="Times New Roman" w:eastAsia="Times New Roman" w:hAnsi="Times New Roman"/>
                <w:sz w:val="18"/>
                <w:szCs w:val="18"/>
                <w:b w:val="1"/>
                <w:bCs w:val="1"/>
                <w:color w:val="auto"/>
                <w:w w:val="97"/>
              </w:rPr>
              <w:t>KRW, except</w:t>
            </w: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KRW, except</w:t>
            </w: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6"/>
              </w:rPr>
              <w:t>KRW,</w:t>
            </w: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gridSpan w:val="2"/>
          </w:tcPr>
          <w:p>
            <w:pPr>
              <w:jc w:val="center"/>
              <w:ind w:right="61"/>
              <w:spacing w:after="0"/>
              <w:rPr>
                <w:sz w:val="20"/>
                <w:szCs w:val="20"/>
                <w:color w:val="auto"/>
              </w:rPr>
            </w:pPr>
            <w:r>
              <w:rPr>
                <w:rFonts w:ascii="Times New Roman" w:cs="Times New Roman" w:eastAsia="Times New Roman" w:hAnsi="Times New Roman"/>
                <w:sz w:val="18"/>
                <w:szCs w:val="18"/>
                <w:b w:val="1"/>
                <w:bCs w:val="1"/>
                <w:color w:val="auto"/>
              </w:rPr>
              <w:t>for</w:t>
            </w: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5"/>
              </w:rPr>
              <w:t>for</w:t>
            </w: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except for</w:t>
            </w: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gridSpan w:val="2"/>
          </w:tcPr>
          <w:p>
            <w:pPr>
              <w:jc w:val="center"/>
              <w:ind w:right="61"/>
              <w:spacing w:after="0"/>
              <w:rPr>
                <w:sz w:val="20"/>
                <w:szCs w:val="20"/>
                <w:color w:val="auto"/>
              </w:rPr>
            </w:pPr>
            <w:r>
              <w:rPr>
                <w:rFonts w:ascii="Times New Roman" w:cs="Times New Roman" w:eastAsia="Times New Roman" w:hAnsi="Times New Roman"/>
                <w:sz w:val="18"/>
                <w:szCs w:val="18"/>
                <w:b w:val="1"/>
                <w:bCs w:val="1"/>
                <w:color w:val="auto"/>
                <w:w w:val="99"/>
              </w:rPr>
              <w:t>per share</w:t>
            </w: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per share</w:t>
            </w: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per share</w:t>
            </w: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gridSpan w:val="2"/>
          </w:tcPr>
          <w:p>
            <w:pPr>
              <w:jc w:val="center"/>
              <w:ind w:right="41"/>
              <w:spacing w:after="0"/>
              <w:rPr>
                <w:sz w:val="20"/>
                <w:szCs w:val="20"/>
                <w:color w:val="auto"/>
              </w:rPr>
            </w:pPr>
            <w:r>
              <w:rPr>
                <w:rFonts w:ascii="Times New Roman" w:cs="Times New Roman" w:eastAsia="Times New Roman" w:hAnsi="Times New Roman"/>
                <w:sz w:val="18"/>
                <w:szCs w:val="18"/>
                <w:b w:val="1"/>
                <w:bCs w:val="1"/>
                <w:color w:val="auto"/>
                <w:w w:val="99"/>
              </w:rPr>
              <w:t>data</w:t>
            </w: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data</w:t>
            </w: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data</w:t>
            </w: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gridSpan w:val="2"/>
          </w:tcPr>
          <w:p>
            <w:pPr>
              <w:jc w:val="center"/>
              <w:ind w:right="41"/>
              <w:spacing w:after="0"/>
              <w:rPr>
                <w:sz w:val="20"/>
                <w:szCs w:val="20"/>
                <w:color w:val="auto"/>
              </w:rPr>
            </w:pPr>
            <w:r>
              <w:rPr>
                <w:rFonts w:ascii="Times New Roman" w:cs="Times New Roman" w:eastAsia="Times New Roman" w:hAnsi="Times New Roman"/>
                <w:sz w:val="18"/>
                <w:szCs w:val="18"/>
                <w:b w:val="1"/>
                <w:bCs w:val="1"/>
                <w:color w:val="auto"/>
                <w:w w:val="99"/>
              </w:rPr>
              <w:t>K Wave</w:t>
            </w: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Hansol</w:t>
            </w: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Transaction</w:t>
            </w: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gridSpan w:val="2"/>
          </w:tcPr>
          <w:p>
            <w:pPr>
              <w:jc w:val="center"/>
              <w:ind w:right="61"/>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320" w:type="dxa"/>
            <w:vAlign w:val="bottom"/>
          </w:tcPr>
          <w:p>
            <w:pPr>
              <w:spacing w:after="0"/>
              <w:rPr>
                <w:sz w:val="18"/>
                <w:szCs w:val="18"/>
                <w:color w:val="auto"/>
              </w:rPr>
            </w:pPr>
          </w:p>
        </w:tc>
        <w:tc>
          <w:tcPr>
            <w:tcW w:w="122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320" w:type="dxa"/>
            <w:vAlign w:val="bottom"/>
          </w:tcPr>
          <w:p>
            <w:pPr>
              <w:spacing w:after="0"/>
              <w:rPr>
                <w:sz w:val="18"/>
                <w:szCs w:val="18"/>
                <w:color w:val="auto"/>
              </w:rPr>
            </w:pPr>
          </w:p>
        </w:tc>
        <w:tc>
          <w:tcPr>
            <w:tcW w:w="124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c>
          <w:tcPr>
            <w:tcW w:w="1180" w:type="dxa"/>
            <w:vAlign w:val="bottom"/>
            <w:gridSpan w:val="2"/>
          </w:tcPr>
          <w:p>
            <w:pPr>
              <w:jc w:val="center"/>
              <w:ind w:right="570"/>
              <w:spacing w:after="0"/>
              <w:rPr>
                <w:sz w:val="20"/>
                <w:szCs w:val="20"/>
                <w:color w:val="auto"/>
              </w:rPr>
            </w:pPr>
            <w:r>
              <w:rPr>
                <w:rFonts w:ascii="Times New Roman" w:cs="Times New Roman" w:eastAsia="Times New Roman" w:hAnsi="Times New Roman"/>
                <w:sz w:val="18"/>
                <w:szCs w:val="18"/>
                <w:b w:val="1"/>
                <w:bCs w:val="1"/>
                <w:color w:val="auto"/>
                <w:w w:val="99"/>
              </w:rPr>
              <w:t>Note</w:t>
            </w: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Pro Forma</w:t>
            </w:r>
          </w:p>
        </w:tc>
      </w:tr>
      <w:tr>
        <w:trPr>
          <w:trHeight w:val="238"/>
        </w:trPr>
        <w:tc>
          <w:tcPr>
            <w:tcW w:w="4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(Note 5)</w:t>
            </w:r>
          </w:p>
        </w:tc>
        <w:tc>
          <w:tcPr>
            <w:tcW w:w="1180" w:type="dxa"/>
            <w:vAlign w:val="bottom"/>
            <w:gridSpan w:val="2"/>
          </w:tcPr>
          <w:p>
            <w:pPr>
              <w:jc w:val="center"/>
              <w:ind w:right="590"/>
              <w:spacing w:after="0"/>
              <w:rPr>
                <w:sz w:val="20"/>
                <w:szCs w:val="20"/>
                <w:color w:val="auto"/>
              </w:rPr>
            </w:pPr>
            <w:r>
              <w:rPr>
                <w:rFonts w:ascii="Times New Roman" w:cs="Times New Roman" w:eastAsia="Times New Roman" w:hAnsi="Times New Roman"/>
                <w:sz w:val="18"/>
                <w:szCs w:val="18"/>
                <w:b w:val="1"/>
                <w:bCs w:val="1"/>
                <w:color w:val="auto"/>
                <w:w w:val="96"/>
              </w:rPr>
              <w:t>Ref</w:t>
            </w:r>
          </w:p>
        </w:tc>
        <w:tc>
          <w:tcPr>
            <w:tcW w:w="11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b w:val="1"/>
                <w:bCs w:val="1"/>
                <w:color w:val="auto"/>
              </w:rPr>
              <w:t>Combined</w:t>
            </w:r>
          </w:p>
        </w:tc>
      </w:tr>
      <w:tr>
        <w:trPr>
          <w:trHeight w:val="210"/>
        </w:trPr>
        <w:tc>
          <w:tcPr>
            <w:tcW w:w="4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Content Merchandising Revenue</w:t>
            </w:r>
          </w:p>
        </w:tc>
        <w:tc>
          <w:tcPr>
            <w:tcW w:w="340" w:type="dxa"/>
            <w:vAlign w:val="bottom"/>
          </w:tcPr>
          <w:p>
            <w:pPr>
              <w:ind w:left="6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44,415,967</w:t>
            </w:r>
          </w:p>
        </w:tc>
        <w:tc>
          <w:tcPr>
            <w:tcW w:w="320" w:type="dxa"/>
            <w:vAlign w:val="bottom"/>
          </w:tcPr>
          <w:p>
            <w:pPr>
              <w:ind w:left="80"/>
              <w:spacing w:after="0"/>
              <w:rPr>
                <w:sz w:val="20"/>
                <w:szCs w:val="20"/>
                <w:color w:val="auto"/>
              </w:rPr>
            </w:pPr>
            <w:r>
              <w:rPr>
                <w:rFonts w:ascii="Arial" w:cs="Arial" w:eastAsia="Arial" w:hAnsi="Arial"/>
                <w:sz w:val="18"/>
                <w:szCs w:val="18"/>
                <w:color w:val="auto"/>
              </w:rPr>
              <w:t>₩</w:t>
            </w:r>
          </w:p>
        </w:tc>
        <w:tc>
          <w:tcPr>
            <w:tcW w:w="12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ind w:left="80"/>
              <w:spacing w:after="0"/>
              <w:rPr>
                <w:sz w:val="20"/>
                <w:szCs w:val="20"/>
                <w:color w:val="auto"/>
              </w:rPr>
            </w:pPr>
            <w:r>
              <w:rPr>
                <w:rFonts w:ascii="Arial" w:cs="Arial" w:eastAsia="Arial" w:hAnsi="Arial"/>
                <w:sz w:val="18"/>
                <w:szCs w:val="18"/>
                <w:color w:val="auto"/>
              </w:rPr>
              <w:t>₩</w:t>
            </w:r>
          </w:p>
        </w:tc>
        <w:tc>
          <w:tcPr>
            <w:tcW w:w="12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Pr>
          <w:p>
            <w:pPr>
              <w:spacing w:after="0"/>
              <w:rPr>
                <w:sz w:val="18"/>
                <w:szCs w:val="18"/>
                <w:color w:val="auto"/>
              </w:rPr>
            </w:pPr>
          </w:p>
        </w:tc>
        <w:tc>
          <w:tcPr>
            <w:tcW w:w="660" w:type="dxa"/>
            <w:vAlign w:val="bottom"/>
          </w:tcPr>
          <w:p>
            <w:pPr>
              <w:ind w:left="36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44,415,967</w:t>
            </w:r>
          </w:p>
        </w:tc>
      </w:tr>
      <w:tr>
        <w:trPr>
          <w:trHeight w:val="216"/>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F&amp;B Revenue</w:t>
            </w: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12,228,818</w:t>
            </w:r>
          </w:p>
        </w:tc>
        <w:tc>
          <w:tcPr>
            <w:tcW w:w="3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12,228,818</w:t>
            </w: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Content production revenue</w:t>
            </w:r>
          </w:p>
        </w:tc>
        <w:tc>
          <w:tcPr>
            <w:tcW w:w="340" w:type="dxa"/>
            <w:vAlign w:val="bottom"/>
          </w:tcPr>
          <w:p>
            <w:pPr>
              <w:spacing w:after="0"/>
              <w:rPr>
                <w:sz w:val="18"/>
                <w:szCs w:val="18"/>
                <w:color w:val="auto"/>
              </w:rPr>
            </w:pPr>
          </w:p>
        </w:tc>
        <w:tc>
          <w:tcPr>
            <w:tcW w:w="12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20,690,997</w:t>
            </w:r>
          </w:p>
        </w:tc>
        <w:tc>
          <w:tcPr>
            <w:tcW w:w="320" w:type="dxa"/>
            <w:vAlign w:val="bottom"/>
          </w:tcPr>
          <w:p>
            <w:pPr>
              <w:spacing w:after="0"/>
              <w:rPr>
                <w:sz w:val="18"/>
                <w:szCs w:val="18"/>
                <w:color w:val="auto"/>
              </w:rPr>
            </w:pPr>
          </w:p>
        </w:tc>
        <w:tc>
          <w:tcPr>
            <w:tcW w:w="12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2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20,690,997</w:t>
            </w:r>
          </w:p>
        </w:tc>
      </w:tr>
      <w:tr>
        <w:trPr>
          <w:trHeight w:val="216"/>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Content investment revenue</w:t>
            </w: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745,138</w:t>
            </w:r>
          </w:p>
        </w:tc>
        <w:tc>
          <w:tcPr>
            <w:tcW w:w="3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745,138</w:t>
            </w: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AI-based digital contact center revenue</w:t>
            </w:r>
          </w:p>
        </w:tc>
        <w:tc>
          <w:tcPr>
            <w:tcW w:w="340" w:type="dxa"/>
            <w:vAlign w:val="bottom"/>
          </w:tcPr>
          <w:p>
            <w:pPr>
              <w:spacing w:after="0"/>
              <w:rPr>
                <w:sz w:val="18"/>
                <w:szCs w:val="18"/>
                <w:color w:val="auto"/>
              </w:rPr>
            </w:pPr>
          </w:p>
        </w:tc>
        <w:tc>
          <w:tcPr>
            <w:tcW w:w="12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2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60,250,812</w:t>
            </w:r>
          </w:p>
        </w:tc>
        <w:tc>
          <w:tcPr>
            <w:tcW w:w="320" w:type="dxa"/>
            <w:vAlign w:val="bottom"/>
          </w:tcPr>
          <w:p>
            <w:pPr>
              <w:spacing w:after="0"/>
              <w:rPr>
                <w:sz w:val="18"/>
                <w:szCs w:val="18"/>
                <w:color w:val="auto"/>
              </w:rPr>
            </w:pPr>
          </w:p>
        </w:tc>
        <w:tc>
          <w:tcPr>
            <w:tcW w:w="12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60,250,812</w:t>
            </w:r>
          </w:p>
        </w:tc>
      </w:tr>
      <w:tr>
        <w:trPr>
          <w:trHeight w:val="230"/>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Pet healthcare revenue</w:t>
            </w:r>
          </w:p>
        </w:tc>
        <w:tc>
          <w:tcPr>
            <w:tcW w:w="3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4,567,430</w:t>
            </w:r>
          </w:p>
        </w:tc>
        <w:tc>
          <w:tcPr>
            <w:tcW w:w="32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4,567,430</w:t>
            </w:r>
          </w:p>
        </w:tc>
      </w:tr>
      <w:tr>
        <w:trPr>
          <w:trHeight w:val="209"/>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340" w:type="dxa"/>
            <w:vAlign w:val="bottom"/>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78,080,920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64,818,242</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142,899,162</w:t>
            </w:r>
          </w:p>
        </w:tc>
        <w:tc>
          <w:tcPr>
            <w:tcW w:w="100" w:type="dxa"/>
            <w:vAlign w:val="bottom"/>
          </w:tcPr>
          <w:p>
            <w:pPr>
              <w:spacing w:after="0"/>
              <w:rPr>
                <w:sz w:val="18"/>
                <w:szCs w:val="18"/>
                <w:color w:val="auto"/>
              </w:rPr>
            </w:pPr>
          </w:p>
        </w:tc>
      </w:tr>
      <w:tr>
        <w:trPr>
          <w:trHeight w:val="216"/>
        </w:trPr>
        <w:tc>
          <w:tcPr>
            <w:tcW w:w="4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revenue</w:t>
            </w: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(71,203,348)</w:t>
            </w:r>
          </w:p>
        </w:tc>
        <w:tc>
          <w:tcPr>
            <w:tcW w:w="3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(49,281,096)</w:t>
            </w:r>
          </w:p>
        </w:tc>
        <w:tc>
          <w:tcPr>
            <w:tcW w:w="3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(120,484,444)</w:t>
            </w:r>
          </w:p>
        </w:tc>
      </w:tr>
      <w:tr>
        <w:trPr>
          <w:trHeight w:val="210"/>
        </w:trPr>
        <w:tc>
          <w:tcPr>
            <w:tcW w:w="42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340" w:type="dxa"/>
            <w:vAlign w:val="bottom"/>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6,877,572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15,537,146</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22,414,718</w:t>
            </w:r>
          </w:p>
        </w:tc>
        <w:tc>
          <w:tcPr>
            <w:tcW w:w="100" w:type="dxa"/>
            <w:vAlign w:val="bottom"/>
          </w:tcPr>
          <w:p>
            <w:pPr>
              <w:spacing w:after="0"/>
              <w:rPr>
                <w:sz w:val="18"/>
                <w:szCs w:val="18"/>
                <w:color w:val="auto"/>
              </w:rPr>
            </w:pPr>
          </w:p>
        </w:tc>
      </w:tr>
      <w:tr>
        <w:trPr>
          <w:trHeight w:val="216"/>
        </w:trPr>
        <w:tc>
          <w:tcPr>
            <w:tcW w:w="4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(69,208,430)</w:t>
            </w:r>
          </w:p>
        </w:tc>
        <w:tc>
          <w:tcPr>
            <w:tcW w:w="3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(14,490,164)</w:t>
            </w:r>
          </w:p>
        </w:tc>
        <w:tc>
          <w:tcPr>
            <w:tcW w:w="3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(45,000)</w:t>
            </w:r>
          </w:p>
        </w:tc>
        <w:tc>
          <w:tcPr>
            <w:tcW w:w="1180" w:type="dxa"/>
            <w:vAlign w:val="bottom"/>
            <w:gridSpan w:val="2"/>
            <w:shd w:val="clear" w:color="auto" w:fill="CCEEFF"/>
          </w:tcPr>
          <w:p>
            <w:pPr>
              <w:jc w:val="center"/>
              <w:ind w:right="590"/>
              <w:spacing w:after="0"/>
              <w:rPr>
                <w:sz w:val="20"/>
                <w:szCs w:val="20"/>
                <w:color w:val="auto"/>
              </w:rPr>
            </w:pPr>
            <w:r>
              <w:rPr>
                <w:rFonts w:ascii="Times New Roman" w:cs="Times New Roman" w:eastAsia="Times New Roman" w:hAnsi="Times New Roman"/>
                <w:sz w:val="18"/>
                <w:szCs w:val="18"/>
                <w:b w:val="1"/>
                <w:bCs w:val="1"/>
                <w:color w:val="auto"/>
                <w:w w:val="99"/>
              </w:rPr>
              <w:t>4A</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(83,743,594)</w:t>
            </w:r>
          </w:p>
        </w:tc>
      </w:tr>
      <w:tr>
        <w:trPr>
          <w:trHeight w:val="216"/>
        </w:trPr>
        <w:tc>
          <w:tcPr>
            <w:tcW w:w="4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income</w:t>
            </w:r>
          </w:p>
        </w:tc>
        <w:tc>
          <w:tcPr>
            <w:tcW w:w="340" w:type="dxa"/>
            <w:vAlign w:val="bottom"/>
          </w:tcPr>
          <w:p>
            <w:pPr>
              <w:spacing w:after="0"/>
              <w:rPr>
                <w:sz w:val="18"/>
                <w:szCs w:val="18"/>
                <w:color w:val="auto"/>
              </w:rPr>
            </w:pPr>
          </w:p>
        </w:tc>
        <w:tc>
          <w:tcPr>
            <w:tcW w:w="12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1,299,367</w:t>
            </w:r>
          </w:p>
        </w:tc>
        <w:tc>
          <w:tcPr>
            <w:tcW w:w="320" w:type="dxa"/>
            <w:vAlign w:val="bottom"/>
          </w:tcPr>
          <w:p>
            <w:pPr>
              <w:spacing w:after="0"/>
              <w:rPr>
                <w:sz w:val="18"/>
                <w:szCs w:val="18"/>
                <w:color w:val="auto"/>
              </w:rPr>
            </w:pPr>
          </w:p>
        </w:tc>
        <w:tc>
          <w:tcPr>
            <w:tcW w:w="12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164,110</w:t>
            </w:r>
          </w:p>
        </w:tc>
        <w:tc>
          <w:tcPr>
            <w:tcW w:w="320" w:type="dxa"/>
            <w:vAlign w:val="bottom"/>
          </w:tcPr>
          <w:p>
            <w:pPr>
              <w:spacing w:after="0"/>
              <w:rPr>
                <w:sz w:val="18"/>
                <w:szCs w:val="18"/>
                <w:color w:val="auto"/>
              </w:rPr>
            </w:pPr>
          </w:p>
        </w:tc>
        <w:tc>
          <w:tcPr>
            <w:tcW w:w="12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1,463,477</w:t>
            </w:r>
          </w:p>
        </w:tc>
      </w:tr>
      <w:tr>
        <w:trPr>
          <w:trHeight w:val="216"/>
        </w:trPr>
        <w:tc>
          <w:tcPr>
            <w:tcW w:w="4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expense</w:t>
            </w: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(133,696,369)</w:t>
            </w:r>
          </w:p>
        </w:tc>
        <w:tc>
          <w:tcPr>
            <w:tcW w:w="3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(112,552)</w:t>
            </w:r>
          </w:p>
        </w:tc>
        <w:tc>
          <w:tcPr>
            <w:tcW w:w="3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(1,501,228)</w:t>
            </w:r>
          </w:p>
        </w:tc>
        <w:tc>
          <w:tcPr>
            <w:tcW w:w="1180" w:type="dxa"/>
            <w:vAlign w:val="bottom"/>
            <w:gridSpan w:val="2"/>
            <w:shd w:val="clear" w:color="auto" w:fill="CCEEFF"/>
          </w:tcPr>
          <w:p>
            <w:pPr>
              <w:jc w:val="center"/>
              <w:ind w:right="590"/>
              <w:spacing w:after="0"/>
              <w:rPr>
                <w:sz w:val="20"/>
                <w:szCs w:val="20"/>
                <w:color w:val="auto"/>
              </w:rPr>
            </w:pPr>
            <w:r>
              <w:rPr>
                <w:rFonts w:ascii="Times New Roman" w:cs="Times New Roman" w:eastAsia="Times New Roman" w:hAnsi="Times New Roman"/>
                <w:sz w:val="18"/>
                <w:szCs w:val="18"/>
                <w:b w:val="1"/>
                <w:bCs w:val="1"/>
                <w:color w:val="auto"/>
              </w:rPr>
              <w:t>4B</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(135,310,149)</w:t>
            </w:r>
          </w:p>
        </w:tc>
      </w:tr>
      <w:tr>
        <w:trPr>
          <w:trHeight w:val="209"/>
        </w:trPr>
        <w:tc>
          <w:tcPr>
            <w:tcW w:w="42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Operating (loss) income</w:t>
            </w:r>
          </w:p>
        </w:tc>
        <w:tc>
          <w:tcPr>
            <w:tcW w:w="340" w:type="dxa"/>
            <w:vAlign w:val="bottom"/>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(194,727,860)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1,098,540</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(1,546,228)</w:t>
            </w: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(195,175,548)</w:t>
            </w:r>
          </w:p>
        </w:tc>
        <w:tc>
          <w:tcPr>
            <w:tcW w:w="100" w:type="dxa"/>
            <w:vAlign w:val="bottom"/>
          </w:tcPr>
          <w:p>
            <w:pPr>
              <w:spacing w:after="0"/>
              <w:rPr>
                <w:sz w:val="18"/>
                <w:szCs w:val="18"/>
                <w:color w:val="auto"/>
              </w:rPr>
            </w:pPr>
          </w:p>
        </w:tc>
      </w:tr>
      <w:tr>
        <w:trPr>
          <w:trHeight w:val="216"/>
        </w:trPr>
        <w:tc>
          <w:tcPr>
            <w:tcW w:w="4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on disposal of Bitcoin</w:t>
            </w: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(1,174,040)</w:t>
            </w:r>
          </w:p>
        </w:tc>
        <w:tc>
          <w:tcPr>
            <w:tcW w:w="1180" w:type="dxa"/>
            <w:vAlign w:val="bottom"/>
            <w:gridSpan w:val="2"/>
            <w:shd w:val="clear" w:color="auto" w:fill="CCEEFF"/>
          </w:tcPr>
          <w:p>
            <w:pPr>
              <w:jc w:val="center"/>
              <w:ind w:right="570"/>
              <w:spacing w:after="0"/>
              <w:rPr>
                <w:sz w:val="20"/>
                <w:szCs w:val="20"/>
                <w:color w:val="auto"/>
              </w:rPr>
            </w:pPr>
            <w:r>
              <w:rPr>
                <w:rFonts w:ascii="Times New Roman" w:cs="Times New Roman" w:eastAsia="Times New Roman" w:hAnsi="Times New Roman"/>
                <w:sz w:val="18"/>
                <w:szCs w:val="18"/>
                <w:b w:val="1"/>
                <w:bCs w:val="1"/>
                <w:color w:val="auto"/>
                <w:w w:val="99"/>
              </w:rPr>
              <w:t>4F</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(1,174,040)</w:t>
            </w:r>
          </w:p>
        </w:tc>
      </w:tr>
      <w:tr>
        <w:trPr>
          <w:trHeight w:val="216"/>
        </w:trPr>
        <w:tc>
          <w:tcPr>
            <w:tcW w:w="4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Finance income</w:t>
            </w:r>
          </w:p>
        </w:tc>
        <w:tc>
          <w:tcPr>
            <w:tcW w:w="340" w:type="dxa"/>
            <w:vAlign w:val="bottom"/>
          </w:tcPr>
          <w:p>
            <w:pPr>
              <w:spacing w:after="0"/>
              <w:rPr>
                <w:sz w:val="18"/>
                <w:szCs w:val="18"/>
                <w:color w:val="auto"/>
              </w:rPr>
            </w:pPr>
          </w:p>
        </w:tc>
        <w:tc>
          <w:tcPr>
            <w:tcW w:w="12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24,647,541</w:t>
            </w:r>
          </w:p>
        </w:tc>
        <w:tc>
          <w:tcPr>
            <w:tcW w:w="320" w:type="dxa"/>
            <w:vAlign w:val="bottom"/>
          </w:tcPr>
          <w:p>
            <w:pPr>
              <w:spacing w:after="0"/>
              <w:rPr>
                <w:sz w:val="18"/>
                <w:szCs w:val="18"/>
                <w:color w:val="auto"/>
              </w:rPr>
            </w:pPr>
          </w:p>
        </w:tc>
        <w:tc>
          <w:tcPr>
            <w:tcW w:w="12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132,850</w:t>
            </w:r>
          </w:p>
        </w:tc>
        <w:tc>
          <w:tcPr>
            <w:tcW w:w="320" w:type="dxa"/>
            <w:vAlign w:val="bottom"/>
          </w:tcPr>
          <w:p>
            <w:pPr>
              <w:spacing w:after="0"/>
              <w:rPr>
                <w:sz w:val="18"/>
                <w:szCs w:val="18"/>
                <w:color w:val="auto"/>
              </w:rPr>
            </w:pPr>
          </w:p>
        </w:tc>
        <w:tc>
          <w:tcPr>
            <w:tcW w:w="12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24,780,391</w:t>
            </w:r>
          </w:p>
        </w:tc>
      </w:tr>
      <w:tr>
        <w:trPr>
          <w:trHeight w:val="216"/>
        </w:trPr>
        <w:tc>
          <w:tcPr>
            <w:tcW w:w="4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Finance costs</w:t>
            </w: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(37,594,482)</w:t>
            </w:r>
          </w:p>
        </w:tc>
        <w:tc>
          <w:tcPr>
            <w:tcW w:w="3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(187,577)</w:t>
            </w:r>
          </w:p>
        </w:tc>
        <w:tc>
          <w:tcPr>
            <w:tcW w:w="3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(272,130)</w:t>
            </w:r>
          </w:p>
        </w:tc>
        <w:tc>
          <w:tcPr>
            <w:tcW w:w="1180" w:type="dxa"/>
            <w:vAlign w:val="bottom"/>
            <w:gridSpan w:val="2"/>
            <w:shd w:val="clear" w:color="auto" w:fill="CCEEFF"/>
          </w:tcPr>
          <w:p>
            <w:pPr>
              <w:jc w:val="center"/>
              <w:ind w:right="590"/>
              <w:spacing w:after="0"/>
              <w:rPr>
                <w:sz w:val="20"/>
                <w:szCs w:val="20"/>
                <w:color w:val="auto"/>
              </w:rPr>
            </w:pPr>
            <w:r>
              <w:rPr>
                <w:rFonts w:ascii="Times New Roman" w:cs="Times New Roman" w:eastAsia="Times New Roman" w:hAnsi="Times New Roman"/>
                <w:sz w:val="18"/>
                <w:szCs w:val="18"/>
                <w:b w:val="1"/>
                <w:bCs w:val="1"/>
                <w:color w:val="auto"/>
              </w:rPr>
              <w:t>4E</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(38,054,189)</w:t>
            </w:r>
          </w:p>
        </w:tc>
      </w:tr>
      <w:tr>
        <w:trPr>
          <w:trHeight w:val="210"/>
        </w:trPr>
        <w:tc>
          <w:tcPr>
            <w:tcW w:w="4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(loss) before income tax</w:t>
            </w:r>
          </w:p>
        </w:tc>
        <w:tc>
          <w:tcPr>
            <w:tcW w:w="340" w:type="dxa"/>
            <w:vAlign w:val="bottom"/>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(207,674,801)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1,043,813</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(2,992,398)</w:t>
            </w: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(209,623,386)</w:t>
            </w:r>
          </w:p>
        </w:tc>
        <w:tc>
          <w:tcPr>
            <w:tcW w:w="100" w:type="dxa"/>
            <w:vAlign w:val="bottom"/>
          </w:tcPr>
          <w:p>
            <w:pPr>
              <w:spacing w:after="0"/>
              <w:rPr>
                <w:sz w:val="18"/>
                <w:szCs w:val="18"/>
                <w:color w:val="auto"/>
              </w:rPr>
            </w:pPr>
          </w:p>
        </w:tc>
      </w:tr>
      <w:tr>
        <w:trPr>
          <w:trHeight w:val="216"/>
        </w:trPr>
        <w:tc>
          <w:tcPr>
            <w:tcW w:w="4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Tax benefit (expense)</w:t>
            </w: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(435,086)</w:t>
            </w:r>
          </w:p>
        </w:tc>
        <w:tc>
          <w:tcPr>
            <w:tcW w:w="3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(148,134)</w:t>
            </w:r>
          </w:p>
        </w:tc>
        <w:tc>
          <w:tcPr>
            <w:tcW w:w="3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(330,270)</w:t>
            </w:r>
          </w:p>
        </w:tc>
        <w:tc>
          <w:tcPr>
            <w:tcW w:w="1180" w:type="dxa"/>
            <w:vAlign w:val="bottom"/>
            <w:gridSpan w:val="2"/>
            <w:shd w:val="clear" w:color="auto" w:fill="CCEEFF"/>
          </w:tcPr>
          <w:p>
            <w:pPr>
              <w:jc w:val="center"/>
              <w:ind w:right="590"/>
              <w:spacing w:after="0"/>
              <w:rPr>
                <w:sz w:val="20"/>
                <w:szCs w:val="20"/>
                <w:color w:val="auto"/>
              </w:rPr>
            </w:pPr>
            <w:r>
              <w:rPr>
                <w:rFonts w:ascii="Times New Roman" w:cs="Times New Roman" w:eastAsia="Times New Roman" w:hAnsi="Times New Roman"/>
                <w:sz w:val="18"/>
                <w:szCs w:val="18"/>
                <w:b w:val="1"/>
                <w:bCs w:val="1"/>
                <w:color w:val="auto"/>
                <w:w w:val="99"/>
              </w:rPr>
              <w:t>4D</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(913,490)</w:t>
            </w:r>
          </w:p>
        </w:tc>
      </w:tr>
      <w:tr>
        <w:trPr>
          <w:trHeight w:val="210"/>
        </w:trPr>
        <w:tc>
          <w:tcPr>
            <w:tcW w:w="42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340" w:type="dxa"/>
            <w:vAlign w:val="bottom"/>
          </w:tcPr>
          <w:p>
            <w:pPr>
              <w:ind w:left="6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(208,109,887)</w:t>
            </w:r>
          </w:p>
        </w:tc>
        <w:tc>
          <w:tcPr>
            <w:tcW w:w="120" w:type="dxa"/>
            <w:vAlign w:val="bottom"/>
          </w:tcPr>
          <w:p>
            <w:pPr>
              <w:spacing w:after="0"/>
              <w:rPr>
                <w:sz w:val="18"/>
                <w:szCs w:val="18"/>
                <w:color w:val="auto"/>
              </w:rPr>
            </w:pPr>
          </w:p>
        </w:tc>
        <w:tc>
          <w:tcPr>
            <w:tcW w:w="320" w:type="dxa"/>
            <w:vAlign w:val="bottom"/>
          </w:tcPr>
          <w:p>
            <w:pPr>
              <w:ind w:left="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895,679</w:t>
            </w:r>
          </w:p>
        </w:tc>
        <w:tc>
          <w:tcPr>
            <w:tcW w:w="140" w:type="dxa"/>
            <w:vAlign w:val="bottom"/>
          </w:tcPr>
          <w:p>
            <w:pPr>
              <w:spacing w:after="0"/>
              <w:rPr>
                <w:sz w:val="18"/>
                <w:szCs w:val="18"/>
                <w:color w:val="auto"/>
              </w:rPr>
            </w:pPr>
          </w:p>
        </w:tc>
        <w:tc>
          <w:tcPr>
            <w:tcW w:w="320" w:type="dxa"/>
            <w:vAlign w:val="bottom"/>
          </w:tcPr>
          <w:p>
            <w:pPr>
              <w:ind w:left="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(3,322,668)</w:t>
            </w: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ind w:left="36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(210,536,876)</w:t>
            </w:r>
          </w:p>
        </w:tc>
        <w:tc>
          <w:tcPr>
            <w:tcW w:w="100" w:type="dxa"/>
            <w:vAlign w:val="bottom"/>
          </w:tcPr>
          <w:p>
            <w:pPr>
              <w:spacing w:after="0"/>
              <w:rPr>
                <w:sz w:val="18"/>
                <w:szCs w:val="18"/>
                <w:color w:val="auto"/>
              </w:rPr>
            </w:pPr>
          </w:p>
        </w:tc>
      </w:tr>
      <w:tr>
        <w:trPr>
          <w:trHeight w:val="216"/>
        </w:trPr>
        <w:tc>
          <w:tcPr>
            <w:tcW w:w="4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Non-controlling interest</w:t>
            </w: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(2,366,962)</w:t>
            </w:r>
          </w:p>
        </w:tc>
        <w:tc>
          <w:tcPr>
            <w:tcW w:w="3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(1,043,286)</w:t>
            </w:r>
          </w:p>
        </w:tc>
        <w:tc>
          <w:tcPr>
            <w:tcW w:w="1180" w:type="dxa"/>
            <w:vAlign w:val="bottom"/>
            <w:gridSpan w:val="2"/>
            <w:shd w:val="clear" w:color="auto" w:fill="CCEEFF"/>
          </w:tcPr>
          <w:p>
            <w:pPr>
              <w:jc w:val="center"/>
              <w:ind w:right="590"/>
              <w:spacing w:after="0"/>
              <w:rPr>
                <w:sz w:val="20"/>
                <w:szCs w:val="20"/>
                <w:color w:val="auto"/>
              </w:rPr>
            </w:pPr>
            <w:r>
              <w:rPr>
                <w:rFonts w:ascii="Times New Roman" w:cs="Times New Roman" w:eastAsia="Times New Roman" w:hAnsi="Times New Roman"/>
                <w:sz w:val="18"/>
                <w:szCs w:val="18"/>
                <w:b w:val="1"/>
                <w:bCs w:val="1"/>
                <w:color w:val="auto"/>
                <w:w w:val="99"/>
              </w:rPr>
              <w:t>4C</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(3,410,248)</w:t>
            </w:r>
          </w:p>
        </w:tc>
      </w:tr>
      <w:tr>
        <w:trPr>
          <w:trHeight w:val="249"/>
        </w:trPr>
        <w:tc>
          <w:tcPr>
            <w:tcW w:w="42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Owners of the parent company</w:t>
            </w:r>
          </w:p>
        </w:tc>
        <w:tc>
          <w:tcPr>
            <w:tcW w:w="340" w:type="dxa"/>
            <w:vAlign w:val="bottom"/>
            <w:tcBorders>
              <w:bottom w:val="single" w:sz="8" w:color="CCEEFF"/>
            </w:tcBorders>
          </w:tcPr>
          <w:p>
            <w:pPr>
              <w:spacing w:after="0"/>
              <w:rPr>
                <w:sz w:val="21"/>
                <w:szCs w:val="21"/>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(205,742,925</w:t>
            </w:r>
          </w:p>
        </w:tc>
        <w:tc>
          <w:tcPr>
            <w:tcW w:w="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32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895,679</w:t>
            </w:r>
          </w:p>
        </w:tc>
        <w:tc>
          <w:tcPr>
            <w:tcW w:w="140" w:type="dxa"/>
            <w:vAlign w:val="bottom"/>
            <w:tcBorders>
              <w:bottom w:val="single" w:sz="8" w:color="CCEEFF"/>
            </w:tcBorders>
          </w:tcPr>
          <w:p>
            <w:pPr>
              <w:spacing w:after="0"/>
              <w:rPr>
                <w:sz w:val="21"/>
                <w:szCs w:val="21"/>
                <w:color w:val="auto"/>
              </w:rPr>
            </w:pPr>
          </w:p>
        </w:tc>
        <w:tc>
          <w:tcPr>
            <w:tcW w:w="32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(2,279,382)</w:t>
            </w:r>
          </w:p>
        </w:tc>
        <w:tc>
          <w:tcPr>
            <w:tcW w:w="220" w:type="dxa"/>
            <w:vAlign w:val="bottom"/>
            <w:tcBorders>
              <w:bottom w:val="single" w:sz="8" w:color="CCEEFF"/>
            </w:tcBorders>
          </w:tcPr>
          <w:p>
            <w:pPr>
              <w:spacing w:after="0"/>
              <w:rPr>
                <w:sz w:val="21"/>
                <w:szCs w:val="21"/>
                <w:color w:val="auto"/>
              </w:rPr>
            </w:pPr>
          </w:p>
        </w:tc>
        <w:tc>
          <w:tcPr>
            <w:tcW w:w="520" w:type="dxa"/>
            <w:vAlign w:val="bottom"/>
            <w:tcBorders>
              <w:bottom w:val="single" w:sz="8" w:color="CCEEFF"/>
            </w:tcBorders>
          </w:tcPr>
          <w:p>
            <w:pPr>
              <w:spacing w:after="0"/>
              <w:rPr>
                <w:sz w:val="21"/>
                <w:szCs w:val="21"/>
                <w:color w:val="auto"/>
              </w:rPr>
            </w:pPr>
          </w:p>
        </w:tc>
        <w:tc>
          <w:tcPr>
            <w:tcW w:w="660" w:type="dxa"/>
            <w:vAlign w:val="bottom"/>
            <w:tcBorders>
              <w:bottom w:val="single" w:sz="8" w:color="CCEEFF"/>
            </w:tcBorders>
          </w:tcPr>
          <w:p>
            <w:pPr>
              <w:spacing w:after="0"/>
              <w:rPr>
                <w:sz w:val="21"/>
                <w:szCs w:val="21"/>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(207,126,628</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197"/>
        </w:trPr>
        <w:tc>
          <w:tcPr>
            <w:tcW w:w="4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56"/>
        </w:trPr>
        <w:tc>
          <w:tcPr>
            <w:tcW w:w="4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 (loss) per common share, basic and diluted</w:t>
            </w:r>
          </w:p>
        </w:tc>
        <w:tc>
          <w:tcPr>
            <w:tcW w:w="340" w:type="dxa"/>
            <w:vAlign w:val="bottom"/>
          </w:tcPr>
          <w:p>
            <w:pPr>
              <w:ind w:left="6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(3,341.00)</w:t>
            </w:r>
          </w:p>
        </w:tc>
        <w:tc>
          <w:tcPr>
            <w:tcW w:w="320" w:type="dxa"/>
            <w:vAlign w:val="bottom"/>
          </w:tcPr>
          <w:p>
            <w:pPr>
              <w:ind w:left="80"/>
              <w:spacing w:after="0"/>
              <w:rPr>
                <w:sz w:val="20"/>
                <w:szCs w:val="20"/>
                <w:color w:val="auto"/>
              </w:rPr>
            </w:pPr>
            <w:r>
              <w:rPr>
                <w:rFonts w:ascii="Arial" w:cs="Arial" w:eastAsia="Arial" w:hAnsi="Arial"/>
                <w:sz w:val="18"/>
                <w:szCs w:val="18"/>
                <w:color w:val="auto"/>
              </w:rPr>
              <w:t>₩</w:t>
            </w:r>
          </w:p>
        </w:tc>
        <w:tc>
          <w:tcPr>
            <w:tcW w:w="12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0.04</w:t>
            </w:r>
          </w:p>
        </w:tc>
        <w:tc>
          <w:tcPr>
            <w:tcW w:w="3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60" w:type="dxa"/>
            <w:vAlign w:val="bottom"/>
          </w:tcPr>
          <w:p>
            <w:pPr>
              <w:ind w:left="36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(3,030.29)</w:t>
            </w:r>
          </w:p>
        </w:tc>
      </w:tr>
      <w:tr>
        <w:trPr>
          <w:trHeight w:val="197"/>
        </w:trPr>
        <w:tc>
          <w:tcPr>
            <w:tcW w:w="4220" w:type="dxa"/>
            <w:vAlign w:val="bottom"/>
            <w:tcBorders>
              <w:top w:val="single" w:sz="8" w:color="CCEEFF"/>
              <w:bottom w:val="single" w:sz="8" w:color="CCEEFF"/>
            </w:tcBorders>
            <w:shd w:val="clear" w:color="auto" w:fill="CCEEFF"/>
          </w:tcPr>
          <w:p>
            <w:pPr>
              <w:ind w:left="180"/>
              <w:spacing w:after="0" w:line="195" w:lineRule="exact"/>
              <w:rPr>
                <w:sz w:val="20"/>
                <w:szCs w:val="20"/>
                <w:color w:val="auto"/>
              </w:rPr>
            </w:pPr>
            <w:r>
              <w:rPr>
                <w:rFonts w:ascii="Times New Roman" w:cs="Times New Roman" w:eastAsia="Times New Roman" w:hAnsi="Times New Roman"/>
                <w:sz w:val="18"/>
                <w:szCs w:val="18"/>
                <w:color w:val="auto"/>
              </w:rPr>
              <w:t>Weighted-average shares outstanding, basic and diluted</w:t>
            </w:r>
          </w:p>
        </w:tc>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11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61,575,085</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13,662,476</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98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520" w:type="dxa"/>
            <w:vAlign w:val="bottom"/>
            <w:tcBorders>
              <w:top w:val="single" w:sz="8" w:color="CCEEFF"/>
              <w:bottom w:val="single" w:sz="8" w:color="CCEEFF"/>
            </w:tcBorders>
            <w:shd w:val="clear" w:color="auto" w:fill="CCEEFF"/>
          </w:tcPr>
          <w:p>
            <w:pPr>
              <w:spacing w:after="0"/>
              <w:rPr>
                <w:sz w:val="17"/>
                <w:szCs w:val="17"/>
                <w:color w:val="auto"/>
              </w:rPr>
            </w:pPr>
          </w:p>
        </w:tc>
        <w:tc>
          <w:tcPr>
            <w:tcW w:w="660" w:type="dxa"/>
            <w:vAlign w:val="bottom"/>
            <w:tcBorders>
              <w:top w:val="single" w:sz="8" w:color="CCEEFF"/>
              <w:bottom w:val="single" w:sz="8" w:color="CCEEFF"/>
            </w:tcBorders>
            <w:shd w:val="clear" w:color="auto" w:fill="CCEEFF"/>
          </w:tcPr>
          <w:p>
            <w:pPr>
              <w:spacing w:after="0"/>
              <w:rPr>
                <w:sz w:val="17"/>
                <w:szCs w:val="17"/>
                <w:color w:val="auto"/>
              </w:rPr>
            </w:pPr>
          </w:p>
        </w:tc>
        <w:tc>
          <w:tcPr>
            <w:tcW w:w="10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68,352,020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4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unaudited condensed combined pro forma financial information.</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62" w:name="page63"/>
    <w:bookmarkEnd w:id="62"/>
    <w:p>
      <w:pPr>
        <w:jc w:val="center"/>
        <w:spacing w:after="0"/>
        <w:rPr>
          <w:sz w:val="20"/>
          <w:szCs w:val="20"/>
          <w:color w:val="auto"/>
        </w:rPr>
      </w:pPr>
      <w:r>
        <w:rPr>
          <w:rFonts w:ascii="Times New Roman" w:cs="Times New Roman" w:eastAsia="Times New Roman" w:hAnsi="Times New Roman"/>
          <w:sz w:val="18"/>
          <w:szCs w:val="18"/>
          <w:b w:val="1"/>
          <w:bCs w:val="1"/>
          <w:color w:val="auto"/>
        </w:rPr>
        <w:t>K WAVE MEDIA LTD.</w:t>
      </w:r>
    </w:p>
    <w:p>
      <w:pPr>
        <w:spacing w:after="0" w:line="22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b w:val="1"/>
          <w:bCs w:val="1"/>
          <w:color w:val="auto"/>
        </w:rPr>
        <w:t>NOTES TO UNAUDITED PRO FORMA CONDENSED COMBINED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Description of Hansol Acquisition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December 19, 2025, Playverse Co. Ltd. (“Playverse”), an indirect wholly owned subsidiary of K Wave Media Ltd. (the “Company” or “K Wave”), entered into a Share Purchase Agreement (the “Purchase Agreement”) with Hansol Holdings Co., Ltd., Lee Mi-sung and Cho Hyun-seung (collectively, the “Sellers”), pursuant to which Playverse agreed to purchase from the Sellers and the Sellers agreed to sell to Playverse an aggregate of 5,864,088 shares common stock (the “Purchased Shares”) of Hansol Inticube Co., an AI language and software development company with core capabilities in AI contact center solutions, voice recognition, chatbots, smart solutions and platform technologies (“Hansol”).</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Shares represent approximately 42.25% of the outstanding shares of common stock of Hansol. Pursuant to the Purchase Agreement, the aggregate purchase price for the Shares pursuant to was KRW15,000,337,104. The Purchase Agreement contains customary representations, warranties and covenants by the parties and customary indemnification obligations of the parties.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Basis of Presentation</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The Hansol Acquisition is being accounted for as a business combination using the acquisition method of accounting under IFRS 3,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 xml:space="preserve"> Combinations, which requires assets acquired and liabilities assumed to be recorded at their acquisition date fair value in accordance with IFRS 13, </w:t>
      </w:r>
      <w:r>
        <w:rPr>
          <w:rFonts w:ascii="Times New Roman" w:cs="Times New Roman" w:eastAsia="Times New Roman" w:hAnsi="Times New Roman"/>
          <w:sz w:val="18"/>
          <w:szCs w:val="18"/>
          <w:i w:val="1"/>
          <w:iCs w:val="1"/>
          <w:color w:val="auto"/>
        </w:rPr>
        <w:t>Fair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Value Measurement</w:t>
      </w:r>
      <w:r>
        <w:rPr>
          <w:rFonts w:ascii="Times New Roman" w:cs="Times New Roman" w:eastAsia="Times New Roman" w:hAnsi="Times New Roman"/>
          <w:sz w:val="18"/>
          <w:szCs w:val="18"/>
          <w:color w:val="auto"/>
        </w:rPr>
        <w:t>. Under IFRS 13, fair value represents the price that would be received to sell an asset or paid to transfer a liability in an orderly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transaction between market participants at the measurement date. Fair value measurements can be highly subjective, and it is possible the application of reasonable judgement could develop different assumptions resulting in a range of alternative estimates using the same facts and circumstances. Identifiable intangible assets—such as customer relationships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technology assets, and trademarks—are recognized separately from goodwill when they meet the separability or contractual-legal criteria in IFRS 3. Goodwill is recognized as the excess of the consideration transferred and the amount of any non-controlling interest over the fair value of the identifiable net assets acquired.</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K Wave and Hansol’s historical financial statements were prepared in accordance with IFRS. Based on an analysis of K Wave and Hansol’s significant accounting policies, the Company has not identified any material differences in accounting policies that would have an impact on the unaudited pro forma condensed combined financial statements. As a result, the unaudited pro forma condensed combined financial statements do not assume any differences in accounting policies.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pro forma adjustments presented in this unaudited pro forma condensed combined financial information represent management’s estimates based on information available as of the date of this Form 6-K and such estimates are subject to revision as further information is obtained. Accordingly, the pro forma adjustments for the Hansol Acquisition are preliminary and subject to further adjustment as additional information becomes available and the various analyses and other valuations are performed. Any adjustments may have a significant effect on total assets, total liabilities, total equity, operating expenses, and depreciation and amortization expenses, and such results may be significant.</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assumptions underlying the pro forma adjustments are described in the accompanying notes to this unaudited pro forma condensed combined financial information.</w:t>
      </w:r>
    </w:p>
    <w:p>
      <w:pPr>
        <w:spacing w:after="0" w:line="162" w:lineRule="exact"/>
        <w:rPr>
          <w:sz w:val="20"/>
          <w:szCs w:val="20"/>
          <w:color w:val="auto"/>
        </w:rPr>
      </w:pPr>
    </w:p>
    <w:p>
      <w:pPr>
        <w:jc w:val="both"/>
        <w:ind w:right="20"/>
        <w:spacing w:after="0" w:line="312" w:lineRule="auto"/>
        <w:rPr>
          <w:sz w:val="20"/>
          <w:szCs w:val="20"/>
          <w:color w:val="auto"/>
        </w:rPr>
      </w:pPr>
      <w:r>
        <w:rPr>
          <w:rFonts w:ascii="Times New Roman" w:cs="Times New Roman" w:eastAsia="Times New Roman" w:hAnsi="Times New Roman"/>
          <w:sz w:val="17"/>
          <w:szCs w:val="17"/>
          <w:color w:val="auto"/>
        </w:rPr>
        <w:t>The unaudited pro forma condensed combined financial information may not be indicative of K Wave’s future performance and does not necessarily reflect what K Wave’s financial position and results of operations would have been had these transactions occurred at the beginning of the period presented.</w:t>
      </w:r>
    </w:p>
    <w:p>
      <w:pPr>
        <w:spacing w:after="0" w:line="14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Further, the unaudited pro forma condensed combined financial information does not purport to project the future operating results or financial position of K Wave following the completion of the Hansol Acquisition. Additionally, the unaudited pro forma condensed combined financial information does not reflect any revenue enhancements, anticipated synergies, operating efficiencies, or cost savings that may be achieved related to the Hansol Acquisition, nor does it reflect any costs or expenditures that may be required to achieve any possible synergies.</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K Wave will finalize the accounting for the acquisition as soon as practicable within the measurement period, but in no event later than one year from the acquisition date, in accordance with IFRS 3.</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color w:val="auto"/>
        </w:rPr>
        <w:t>Note 3 – Preliminary Purchase Price Allocation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Preliminary Purchase Consideration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estimated fair value of the consideration transferred is </w:t>
      </w:r>
      <w:r>
        <w:rPr>
          <w:rFonts w:ascii="Arial" w:cs="Arial" w:eastAsia="Arial" w:hAnsi="Arial"/>
          <w:sz w:val="18"/>
          <w:szCs w:val="18"/>
          <w:color w:val="auto"/>
        </w:rPr>
        <w:t>₩</w:t>
      </w:r>
      <w:r>
        <w:rPr>
          <w:rFonts w:ascii="Times New Roman" w:cs="Times New Roman" w:eastAsia="Times New Roman" w:hAnsi="Times New Roman"/>
          <w:sz w:val="18"/>
          <w:szCs w:val="18"/>
          <w:color w:val="auto"/>
        </w:rPr>
        <w:t>15.0 billion.</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Preliminary Estimates of Fair Value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tangible and identifiable intangible assets acquired, and liabilities assumed used to prepare pro forma adjustments in the unaudited pro forma condensed combined balance sheet and statements of operations (in thousands).</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Consideration:</w:t>
            </w:r>
          </w:p>
        </w:tc>
        <w:tc>
          <w:tcPr>
            <w:tcW w:w="3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w:t>
            </w:r>
          </w:p>
        </w:tc>
        <w:tc>
          <w:tcPr>
            <w:tcW w:w="3180" w:type="dxa"/>
            <w:vAlign w:val="bottom"/>
          </w:tcPr>
          <w:p>
            <w:pPr>
              <w:ind w:left="29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15,000,337</w:t>
            </w:r>
          </w:p>
        </w:tc>
      </w:tr>
      <w:tr>
        <w:trPr>
          <w:trHeight w:val="216"/>
        </w:trPr>
        <w:tc>
          <w:tcPr>
            <w:tcW w:w="684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Identifiable assets acquired and liabilities assumed:</w:t>
            </w:r>
          </w:p>
        </w:tc>
        <w:tc>
          <w:tcPr>
            <w:tcW w:w="3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assets</w:t>
            </w:r>
          </w:p>
        </w:tc>
        <w:tc>
          <w:tcPr>
            <w:tcW w:w="3180" w:type="dxa"/>
            <w:vAlign w:val="bottom"/>
            <w:shd w:val="clear" w:color="auto" w:fill="CCEEFF"/>
          </w:tcPr>
          <w:p>
            <w:pPr>
              <w:ind w:left="29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22,669,199</w:t>
            </w:r>
          </w:p>
        </w:tc>
      </w:tr>
      <w:tr>
        <w:trPr>
          <w:trHeight w:val="216"/>
        </w:trPr>
        <w:tc>
          <w:tcPr>
            <w:tcW w:w="6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Non-current assets</w:t>
            </w:r>
          </w:p>
        </w:tc>
        <w:tc>
          <w:tcPr>
            <w:tcW w:w="318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10,281,045</w:t>
            </w:r>
          </w:p>
        </w:tc>
      </w:tr>
      <w:tr>
        <w:trPr>
          <w:trHeight w:val="216"/>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Intangible assets</w:t>
            </w:r>
          </w:p>
        </w:tc>
        <w:tc>
          <w:tcPr>
            <w:tcW w:w="3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11,700,000</w:t>
            </w:r>
          </w:p>
        </w:tc>
      </w:tr>
      <w:tr>
        <w:trPr>
          <w:trHeight w:val="216"/>
        </w:trPr>
        <w:tc>
          <w:tcPr>
            <w:tcW w:w="6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tax liability</w:t>
            </w:r>
          </w:p>
        </w:tc>
        <w:tc>
          <w:tcPr>
            <w:tcW w:w="318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(2,574,000)</w:t>
            </w:r>
          </w:p>
        </w:tc>
      </w:tr>
      <w:tr>
        <w:trPr>
          <w:trHeight w:val="216"/>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liabilities</w:t>
            </w:r>
          </w:p>
        </w:tc>
        <w:tc>
          <w:tcPr>
            <w:tcW w:w="3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(19,442,642)</w:t>
            </w:r>
          </w:p>
        </w:tc>
      </w:tr>
      <w:tr>
        <w:trPr>
          <w:trHeight w:val="216"/>
        </w:trPr>
        <w:tc>
          <w:tcPr>
            <w:tcW w:w="6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Non-controlling interest</w:t>
            </w:r>
          </w:p>
        </w:tc>
        <w:tc>
          <w:tcPr>
            <w:tcW w:w="318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(19,948,742)</w:t>
            </w:r>
          </w:p>
        </w:tc>
      </w:tr>
      <w:tr>
        <w:trPr>
          <w:trHeight w:val="210"/>
        </w:trPr>
        <w:tc>
          <w:tcPr>
            <w:tcW w:w="684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Net identifiable assets acquired</w:t>
            </w:r>
          </w:p>
        </w:tc>
        <w:tc>
          <w:tcPr>
            <w:tcW w:w="3180" w:type="dxa"/>
            <w:vAlign w:val="bottom"/>
            <w:tcBorders>
              <w:top w:val="single" w:sz="8" w:color="CCEEFF"/>
            </w:tcBorders>
            <w:shd w:val="clear" w:color="auto" w:fill="CCEEFF"/>
          </w:tcPr>
          <w:p>
            <w:pPr>
              <w:ind w:left="2900"/>
              <w:spacing w:after="0"/>
              <w:rPr>
                <w:sz w:val="20"/>
                <w:szCs w:val="20"/>
                <w:color w:val="auto"/>
              </w:rPr>
            </w:pPr>
            <w:r>
              <w:rPr>
                <w:rFonts w:ascii="Arial" w:cs="Arial" w:eastAsia="Arial" w:hAnsi="Arial"/>
                <w:sz w:val="18"/>
                <w:szCs w:val="18"/>
                <w:color w:val="auto"/>
                <w:highlight w:val="black"/>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2,684,860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318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12,315,477</w:t>
            </w:r>
          </w:p>
        </w:tc>
      </w:tr>
      <w:tr>
        <w:trPr>
          <w:trHeight w:val="209"/>
        </w:trPr>
        <w:tc>
          <w:tcPr>
            <w:tcW w:w="684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Net assets acquired</w:t>
            </w:r>
          </w:p>
        </w:tc>
        <w:tc>
          <w:tcPr>
            <w:tcW w:w="3180" w:type="dxa"/>
            <w:vAlign w:val="bottom"/>
            <w:tcBorders>
              <w:top w:val="single" w:sz="8" w:color="CCEEFF"/>
            </w:tcBorders>
            <w:shd w:val="clear" w:color="auto" w:fill="CCEEFF"/>
          </w:tcPr>
          <w:p>
            <w:pPr>
              <w:ind w:left="2900"/>
              <w:spacing w:after="0"/>
              <w:rPr>
                <w:sz w:val="20"/>
                <w:szCs w:val="20"/>
                <w:color w:val="auto"/>
              </w:rPr>
            </w:pPr>
            <w:r>
              <w:rPr>
                <w:rFonts w:ascii="Arial" w:cs="Arial" w:eastAsia="Arial" w:hAnsi="Arial"/>
                <w:sz w:val="18"/>
                <w:szCs w:val="18"/>
                <w:color w:val="auto"/>
                <w:highlight w:val="black"/>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15,000,337</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final estimates of fair value will be determined when the Company has completed the detailed valuations and necessary calculations. The final allocation could differ materially from the preliminary calculation used in the pro forma adjustments. The final estimates of fair value may include (i) changes in allocations to intangible assets including goodwill, (ii) other changes to assets and liabilities, and (iii) changes to the assessment of tax positions and tax rates.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Preliminary identifiable intangible assets in the unaudited pro forma condensed combined financial information consist of the following (in thousands):</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Approximate</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Estimated</w:t>
            </w:r>
          </w:p>
        </w:tc>
        <w:tc>
          <w:tcPr>
            <w:tcW w:w="3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Valuation</w:t>
            </w:r>
          </w:p>
        </w:tc>
      </w:tr>
      <w:tr>
        <w:trPr>
          <w:trHeight w:val="238"/>
        </w:trPr>
        <w:tc>
          <w:tcPr>
            <w:tcW w:w="35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Useful Lives</w:t>
            </w:r>
          </w:p>
        </w:tc>
        <w:tc>
          <w:tcPr>
            <w:tcW w:w="3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Methodology</w:t>
            </w:r>
          </w:p>
        </w:tc>
      </w:tr>
      <w:tr>
        <w:trPr>
          <w:trHeight w:val="210"/>
        </w:trPr>
        <w:tc>
          <w:tcPr>
            <w:tcW w:w="3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920" w:type="dxa"/>
            <w:vAlign w:val="bottom"/>
            <w:tcBorders>
              <w:top w:val="single" w:sz="8" w:color="CCEEFF"/>
            </w:tcBorders>
            <w:shd w:val="clear" w:color="auto" w:fill="CCEEFF"/>
          </w:tcPr>
          <w:p>
            <w:pPr>
              <w:ind w:left="164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2,457,000</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9.8 years</w:t>
            </w:r>
          </w:p>
        </w:tc>
        <w:tc>
          <w:tcPr>
            <w:tcW w:w="100" w:type="dxa"/>
            <w:vAlign w:val="bottom"/>
            <w:tcBorders>
              <w:top w:val="single" w:sz="8" w:color="CCEEFF"/>
            </w:tcBorders>
            <w:shd w:val="clear" w:color="auto" w:fill="CCEEFF"/>
          </w:tcPr>
          <w:p>
            <w:pPr>
              <w:spacing w:after="0"/>
              <w:rPr>
                <w:sz w:val="18"/>
                <w:szCs w:val="18"/>
                <w:color w:val="auto"/>
              </w:rPr>
            </w:pPr>
          </w:p>
        </w:tc>
        <w:tc>
          <w:tcPr>
            <w:tcW w:w="31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Multi-period excess earnings method</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Backlog</w:t>
            </w:r>
          </w:p>
        </w:tc>
        <w:tc>
          <w:tcPr>
            <w:tcW w:w="19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2,884,000</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5 years</w:t>
            </w:r>
          </w:p>
        </w:tc>
        <w:tc>
          <w:tcPr>
            <w:tcW w:w="3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Multi-period excess earnings methos</w:t>
            </w:r>
          </w:p>
        </w:tc>
      </w:tr>
      <w:tr>
        <w:trPr>
          <w:trHeight w:val="216"/>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Technology</w:t>
            </w:r>
          </w:p>
        </w:tc>
        <w:tc>
          <w:tcPr>
            <w:tcW w:w="19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4,716,000</w:t>
            </w:r>
          </w:p>
        </w:tc>
        <w:tc>
          <w:tcPr>
            <w:tcW w:w="12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7"/>
              </w:rPr>
              <w:t>7 years</w:t>
            </w:r>
          </w:p>
        </w:tc>
        <w:tc>
          <w:tcPr>
            <w:tcW w:w="32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Relief from royalty method</w:t>
            </w:r>
          </w:p>
        </w:tc>
      </w:tr>
      <w:tr>
        <w:trPr>
          <w:trHeight w:val="216"/>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Brand</w:t>
            </w:r>
          </w:p>
        </w:tc>
        <w:tc>
          <w:tcPr>
            <w:tcW w:w="19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1,643,000</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Indefinite</w:t>
            </w:r>
          </w:p>
        </w:tc>
        <w:tc>
          <w:tcPr>
            <w:tcW w:w="3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Relief from royalty method</w:t>
            </w:r>
          </w:p>
        </w:tc>
      </w:tr>
      <w:tr>
        <w:trPr>
          <w:trHeight w:val="209"/>
        </w:trPr>
        <w:tc>
          <w:tcPr>
            <w:tcW w:w="35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 intangible assets</w:t>
            </w:r>
          </w:p>
        </w:tc>
        <w:tc>
          <w:tcPr>
            <w:tcW w:w="1920" w:type="dxa"/>
            <w:vAlign w:val="bottom"/>
            <w:tcBorders>
              <w:top w:val="single" w:sz="8" w:color="CCEEFF"/>
              <w:bottom w:val="single" w:sz="8" w:color="CCEEFF"/>
            </w:tcBorders>
            <w:shd w:val="clear" w:color="auto" w:fill="CCEEFF"/>
          </w:tcPr>
          <w:p>
            <w:pPr>
              <w:ind w:left="1640"/>
              <w:spacing w:after="0"/>
              <w:rPr>
                <w:sz w:val="20"/>
                <w:szCs w:val="20"/>
                <w:color w:val="auto"/>
              </w:rPr>
            </w:pPr>
            <w:r>
              <w:rPr>
                <w:rFonts w:ascii="Arial" w:cs="Arial" w:eastAsia="Arial" w:hAnsi="Arial"/>
                <w:sz w:val="18"/>
                <w:szCs w:val="18"/>
                <w:color w:val="auto"/>
                <w:highlight w:val="black"/>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11,700,000</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35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amortization related to the identifiable intangible assets is reflected as an Acquisition Adjustment in the unaudited pro forma condensed combined statements of operations based on the estimated useful lives above as further described in Note 5. The fair values of the identifiable intangible assets are preliminary and are based on Management’s estimates as of the Closing Date. The Company applied judgement in estimating the fair value of these intangibles which involved the use of significant assumptions with respect to revenue forecasts, revenue growth, attrition rates, royalty rates, discount rates, and economic lives.</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color w:val="auto"/>
        </w:rPr>
        <w:t>Note 4 – Acquisition Adjustments to Unaudited Pro Forma Condensed Combined Statement of Financial Position</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Acquisition Adjustments include the following adjustments, which are based on the Company’s preliminary estimates and assumptions, related to the unaudited pro forma condensed combined statement of financial position as of December 31, 2025.</w:t>
      </w:r>
    </w:p>
    <w:p>
      <w:pPr>
        <w:spacing w:after="0" w:line="162" w:lineRule="exact"/>
        <w:rPr>
          <w:sz w:val="20"/>
          <w:szCs w:val="20"/>
          <w:color w:val="auto"/>
        </w:rPr>
      </w:pPr>
    </w:p>
    <w:p>
      <w:pPr>
        <w:ind w:left="340" w:hanging="332"/>
        <w:spacing w:after="0"/>
        <w:tabs>
          <w:tab w:leader="none" w:pos="34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recognition of the fair value of intangible assets in accordance with purchase accounting as described in Note 3.</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purchase accounting adjustment to goodwill based on the acquisition method.</w:t>
      </w:r>
    </w:p>
    <w:p>
      <w:pPr>
        <w:spacing w:after="0" w:line="184" w:lineRule="exact"/>
        <w:rPr>
          <w:rFonts w:ascii="Times New Roman" w:cs="Times New Roman" w:eastAsia="Times New Roman" w:hAnsi="Times New Roman"/>
          <w:sz w:val="18"/>
          <w:szCs w:val="18"/>
          <w:color w:val="auto"/>
        </w:rPr>
      </w:pPr>
    </w:p>
    <w:p>
      <w:pPr>
        <w:ind w:left="340" w:hanging="332"/>
        <w:spacing w:after="0" w:line="328" w:lineRule="auto"/>
        <w:tabs>
          <w:tab w:leader="none" w:pos="34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Represents the purchase of approximately 42.25% of the shares of Hansol for a value of </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15.0 billion of which a prepayment of </w:t>
      </w:r>
      <w:r>
        <w:rPr>
          <w:rFonts w:ascii="Arial" w:cs="Arial" w:eastAsia="Arial" w:hAnsi="Arial"/>
          <w:sz w:val="18"/>
          <w:szCs w:val="18"/>
          <w:color w:val="auto"/>
        </w:rPr>
        <w:t>₩</w:t>
      </w:r>
      <w:r>
        <w:rPr>
          <w:rFonts w:ascii="Times New Roman" w:cs="Times New Roman" w:eastAsia="Times New Roman" w:hAnsi="Times New Roman"/>
          <w:sz w:val="18"/>
          <w:szCs w:val="18"/>
          <w:color w:val="auto"/>
        </w:rPr>
        <w:t>3.0 billion is recorded as other current asset as of December 31, 2025.</w:t>
      </w:r>
    </w:p>
    <w:p>
      <w:pPr>
        <w:spacing w:after="0" w:line="12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 eliminates Hansol’s historical shareholders’ equity.</w:t>
      </w:r>
    </w:p>
    <w:p>
      <w:pPr>
        <w:spacing w:after="0" w:line="184"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Reflects </w:t>
      </w:r>
      <w:r>
        <w:rPr>
          <w:rFonts w:ascii="Arial" w:cs="Arial" w:eastAsia="Arial" w:hAnsi="Arial"/>
          <w:sz w:val="18"/>
          <w:szCs w:val="18"/>
          <w:color w:val="auto"/>
        </w:rPr>
        <w:t>₩</w:t>
      </w:r>
      <w:r>
        <w:rPr>
          <w:rFonts w:ascii="Times New Roman" w:cs="Times New Roman" w:eastAsia="Times New Roman" w:hAnsi="Times New Roman"/>
          <w:sz w:val="18"/>
          <w:szCs w:val="18"/>
          <w:color w:val="auto"/>
        </w:rPr>
        <w:t>45.0 million of transaction costs incurred by the Company that are not included in the historical financial statements of K Wave or Hansol.</w:t>
      </w:r>
    </w:p>
    <w:p>
      <w:pPr>
        <w:spacing w:after="0" w:line="224" w:lineRule="exact"/>
        <w:rPr>
          <w:rFonts w:ascii="Times New Roman" w:cs="Times New Roman" w:eastAsia="Times New Roman" w:hAnsi="Times New Roman"/>
          <w:sz w:val="18"/>
          <w:szCs w:val="18"/>
          <w:color w:val="auto"/>
        </w:rPr>
      </w:pPr>
    </w:p>
    <w:p>
      <w:pPr>
        <w:ind w:left="340" w:hanging="332"/>
        <w:spacing w:after="0" w:line="328" w:lineRule="auto"/>
        <w:tabs>
          <w:tab w:leader="none" w:pos="34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Reflects the bank loan in the amount of </w:t>
      </w:r>
      <w:r>
        <w:rPr>
          <w:rFonts w:ascii="Arial" w:cs="Arial" w:eastAsia="Arial" w:hAnsi="Arial"/>
          <w:sz w:val="18"/>
          <w:szCs w:val="18"/>
          <w:color w:val="auto"/>
        </w:rPr>
        <w:t>₩</w:t>
      </w:r>
      <w:r>
        <w:rPr>
          <w:rFonts w:ascii="Times New Roman" w:cs="Times New Roman" w:eastAsia="Times New Roman" w:hAnsi="Times New Roman"/>
          <w:sz w:val="18"/>
          <w:szCs w:val="18"/>
          <w:color w:val="auto"/>
        </w:rPr>
        <w:t>5.0 billion entered by K Wave subsequent to December 31, 2025. The loan has a one year term and an interest rate of the Korea 3-month CD rate+2.396%.</w:t>
      </w:r>
    </w:p>
    <w:p>
      <w:pPr>
        <w:spacing w:after="0" w:line="8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Reflects the sale of 27.8% of Play Company’s ownership in Playverse for </w:t>
      </w:r>
      <w:r>
        <w:rPr>
          <w:rFonts w:ascii="Arial" w:cs="Arial" w:eastAsia="Arial" w:hAnsi="Arial"/>
          <w:sz w:val="18"/>
          <w:szCs w:val="18"/>
          <w:color w:val="auto"/>
        </w:rPr>
        <w:t>₩</w:t>
      </w:r>
      <w:r>
        <w:rPr>
          <w:rFonts w:ascii="Times New Roman" w:cs="Times New Roman" w:eastAsia="Times New Roman" w:hAnsi="Times New Roman"/>
          <w:sz w:val="18"/>
          <w:szCs w:val="18"/>
          <w:color w:val="auto"/>
        </w:rPr>
        <w:t>2.5 billion.</w:t>
      </w:r>
    </w:p>
    <w:p>
      <w:pPr>
        <w:spacing w:after="0" w:line="264"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liquidation of 88 Bitcoin and the partial repayment of the convertible notes issued to Anson Investments Master Funs LP and Anson East Master Fund LP.</w:t>
      </w:r>
    </w:p>
    <w:p>
      <w:pPr>
        <w:spacing w:after="0" w:line="161"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conversion of the Anson Investments Master Fund LP and Anson East Master Fund LP for the issuance of 3,857,634 and 966,639 common shares, respectively. Reflects the conversion of the Loeb and Loeb LLP convertible notes and the issuance of 1,952,662 common shares.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Acquisition Adjustments to Unaudited Pro Forma Condensed Combined Statements of Operations</w:t>
      </w:r>
    </w:p>
    <w:p>
      <w:pPr>
        <w:spacing w:after="0" w:line="188" w:lineRule="exact"/>
        <w:rPr>
          <w:sz w:val="20"/>
          <w:szCs w:val="20"/>
          <w:color w:val="auto"/>
        </w:rPr>
      </w:pPr>
    </w:p>
    <w:p>
      <w:pPr>
        <w:ind w:left="340" w:hanging="332"/>
        <w:spacing w:after="0" w:line="328" w:lineRule="auto"/>
        <w:tabs>
          <w:tab w:leader="none" w:pos="34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Reflects an adjustment to reflect </w:t>
      </w:r>
      <w:r>
        <w:rPr>
          <w:rFonts w:ascii="Arial" w:cs="Arial" w:eastAsia="Arial" w:hAnsi="Arial"/>
          <w:sz w:val="18"/>
          <w:szCs w:val="18"/>
          <w:color w:val="auto"/>
        </w:rPr>
        <w:t>₩</w:t>
      </w:r>
      <w:r>
        <w:rPr>
          <w:rFonts w:ascii="Times New Roman" w:cs="Times New Roman" w:eastAsia="Times New Roman" w:hAnsi="Times New Roman"/>
          <w:sz w:val="18"/>
          <w:szCs w:val="18"/>
          <w:color w:val="auto"/>
        </w:rPr>
        <w:t>45.0 million of transaction costs incurred by K Wave that are not included in the historical financial statements of K Wave and Hansol.</w:t>
      </w:r>
    </w:p>
    <w:p>
      <w:pPr>
        <w:spacing w:after="0" w:line="12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table summarizes the estimated fair values of Hansol’s identifiable intangible assets and their estimated useful lives including the amortization for the periods presented calculated on a straight-line basis (in thousands).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Amortization</w:t>
            </w:r>
          </w:p>
        </w:tc>
      </w:tr>
      <w:tr>
        <w:trPr>
          <w:trHeight w:val="216"/>
        </w:trPr>
        <w:tc>
          <w:tcPr>
            <w:tcW w:w="428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Expense -</w:t>
            </w:r>
          </w:p>
        </w:tc>
      </w:tr>
      <w:tr>
        <w:trPr>
          <w:trHeight w:val="216"/>
        </w:trPr>
        <w:tc>
          <w:tcPr>
            <w:tcW w:w="428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Estimated</w:t>
            </w:r>
          </w:p>
        </w:tc>
        <w:tc>
          <w:tcPr>
            <w:tcW w:w="38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Year Ended</w:t>
            </w:r>
          </w:p>
        </w:tc>
      </w:tr>
      <w:tr>
        <w:trPr>
          <w:trHeight w:val="216"/>
        </w:trPr>
        <w:tc>
          <w:tcPr>
            <w:tcW w:w="428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34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Estimated</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Useful</w:t>
            </w:r>
          </w:p>
        </w:tc>
        <w:tc>
          <w:tcPr>
            <w:tcW w:w="38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8"/>
        </w:trPr>
        <w:tc>
          <w:tcPr>
            <w:tcW w:w="428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134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Life (years)</w:t>
            </w:r>
          </w:p>
        </w:tc>
        <w:tc>
          <w:tcPr>
            <w:tcW w:w="38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20"/>
                <w:szCs w:val="20"/>
                <w:color w:val="auto"/>
              </w:rPr>
            </w:pPr>
          </w:p>
        </w:tc>
      </w:tr>
      <w:tr>
        <w:trPr>
          <w:trHeight w:val="210"/>
        </w:trPr>
        <w:tc>
          <w:tcPr>
            <w:tcW w:w="4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2900" w:type="dxa"/>
            <w:vAlign w:val="bottom"/>
            <w:tcBorders>
              <w:top w:val="single" w:sz="8" w:color="CCEEFF"/>
            </w:tcBorders>
            <w:shd w:val="clear" w:color="auto" w:fill="CCEEFF"/>
          </w:tcPr>
          <w:p>
            <w:pPr>
              <w:ind w:left="262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2,457,000</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9.8</w:t>
            </w:r>
          </w:p>
        </w:tc>
        <w:tc>
          <w:tcPr>
            <w:tcW w:w="38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250,714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Backlog</w:t>
            </w:r>
          </w:p>
        </w:tc>
        <w:tc>
          <w:tcPr>
            <w:tcW w:w="29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2,884,000</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38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576,800</w:t>
            </w: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Technology</w:t>
            </w:r>
          </w:p>
        </w:tc>
        <w:tc>
          <w:tcPr>
            <w:tcW w:w="29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4,716,000</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w:t>
            </w:r>
          </w:p>
        </w:tc>
        <w:tc>
          <w:tcPr>
            <w:tcW w:w="3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673,714</w:t>
            </w: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Brand</w:t>
            </w:r>
          </w:p>
        </w:tc>
        <w:tc>
          <w:tcPr>
            <w:tcW w:w="29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1,643,000</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Indefinite</w:t>
            </w:r>
          </w:p>
        </w:tc>
        <w:tc>
          <w:tcPr>
            <w:tcW w:w="38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42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900" w:type="dxa"/>
            <w:vAlign w:val="bottom"/>
            <w:tcBorders>
              <w:top w:val="single" w:sz="8" w:color="CCEEFF"/>
              <w:bottom w:val="single" w:sz="8" w:color="CCEEFF"/>
            </w:tcBorders>
            <w:shd w:val="clear" w:color="auto" w:fill="CCEEFF"/>
          </w:tcPr>
          <w:p>
            <w:pPr>
              <w:spacing w:after="0"/>
              <w:rPr>
                <w:sz w:val="18"/>
                <w:szCs w:val="18"/>
                <w:color w:val="auto"/>
              </w:rPr>
            </w:pPr>
          </w:p>
        </w:tc>
        <w:tc>
          <w:tcPr>
            <w:tcW w:w="11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12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highlight w:val="black"/>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1,501,228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428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hanging="332"/>
        <w:spacing w:after="0"/>
        <w:tabs>
          <w:tab w:leader="none" w:pos="34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amortization expense allocated to the non-controlling interest.</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pro forma tax expense on the amortization of the intangible assets based on the 22% corporate income tax rate.</w:t>
      </w:r>
    </w:p>
    <w:p>
      <w:pPr>
        <w:spacing w:after="0" w:line="252"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interest expense recognized on the bank loan as described in (F) above, giving effect to the business combination as if it had occurred on January 1, 2025.</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  Reflects the loss on the disposal of Bitcoin.</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76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D4ED43B"/>
    <w:multiLevelType w:val="hybridMultilevel"/>
    <w:lvl w:ilvl="0">
      <w:lvlJc w:val="left"/>
      <w:lvlText w:val="%1."/>
      <w:numFmt w:val="decimal"/>
      <w:start w:val="1"/>
    </w:lvl>
  </w:abstractNum>
  <w:abstractNum w:abstractNumId="1">
    <w:nsid w:val="725A06FB"/>
    <w:multiLevelType w:val="hybridMultilevel"/>
    <w:lvl w:ilvl="0">
      <w:lvlJc w:val="left"/>
      <w:lvlText w:val="-"/>
      <w:numFmt w:val="bullet"/>
      <w:start w:val="1"/>
    </w:lvl>
  </w:abstractNum>
  <w:abstractNum w:abstractNumId="2">
    <w:nsid w:val="2CD89A32"/>
    <w:multiLevelType w:val="hybridMultilevel"/>
    <w:lvl w:ilvl="0">
      <w:lvlJc w:val="left"/>
      <w:lvlText w:val="(%1)"/>
      <w:numFmt w:val="decimal"/>
      <w:start w:val="1"/>
    </w:lvl>
  </w:abstractNum>
  <w:abstractNum w:abstractNumId="3">
    <w:nsid w:val="57E4CCAF"/>
    <w:multiLevelType w:val="hybridMultilevel"/>
    <w:lvl w:ilvl="0">
      <w:lvlJc w:val="left"/>
      <w:lvlText w:val="%1)"/>
      <w:numFmt w:val="decimal"/>
      <w:start w:val="1"/>
    </w:lvl>
  </w:abstractNum>
  <w:abstractNum w:abstractNumId="4">
    <w:nsid w:val="7A6D8D3C"/>
    <w:multiLevelType w:val="hybridMultilevel"/>
    <w:lvl w:ilvl="0">
      <w:lvlJc w:val="left"/>
      <w:lvlText w:val="%1)"/>
      <w:numFmt w:val="decimal"/>
      <w:start w:val="2"/>
    </w:lvl>
  </w:abstractNum>
  <w:abstractNum w:abstractNumId="5">
    <w:nsid w:val="4B588F54"/>
    <w:multiLevelType w:val="hybridMultilevel"/>
    <w:lvl w:ilvl="0">
      <w:lvlJc w:val="left"/>
      <w:lvlText w:val="%1)"/>
      <w:numFmt w:val="decimal"/>
      <w:start w:val="3"/>
    </w:lvl>
  </w:abstractNum>
  <w:abstractNum w:abstractNumId="6">
    <w:nsid w:val="542289EC"/>
    <w:multiLevelType w:val="hybridMultilevel"/>
    <w:lvl w:ilvl="0">
      <w:lvlJc w:val="left"/>
      <w:lvlText w:val="%1)"/>
      <w:numFmt w:val="decimal"/>
      <w:start w:val="4"/>
    </w:lvl>
  </w:abstractNum>
  <w:abstractNum w:abstractNumId="7">
    <w:nsid w:val="6DE91B18"/>
    <w:multiLevelType w:val="hybridMultilevel"/>
    <w:lvl w:ilvl="0">
      <w:lvlJc w:val="left"/>
      <w:lvlText w:val="(%1)"/>
      <w:numFmt w:val="decimal"/>
      <w:start w:val="2"/>
    </w:lvl>
  </w:abstractNum>
  <w:abstractNum w:abstractNumId="8">
    <w:nsid w:val="38437FDB"/>
    <w:multiLevelType w:val="hybridMultilevel"/>
    <w:lvl w:ilvl="0">
      <w:lvlJc w:val="left"/>
      <w:lvlText w:val="%1)"/>
      <w:numFmt w:val="decimal"/>
      <w:start w:val="1"/>
    </w:lvl>
  </w:abstractNum>
  <w:abstractNum w:abstractNumId="9">
    <w:nsid w:val="7644A45C"/>
    <w:multiLevelType w:val="hybridMultilevel"/>
    <w:lvl w:ilvl="0">
      <w:lvlJc w:val="left"/>
      <w:lvlText w:val="%1)"/>
      <w:numFmt w:val="decimal"/>
      <w:start w:val="2"/>
    </w:lvl>
  </w:abstractNum>
  <w:abstractNum w:abstractNumId="10">
    <w:nsid w:val="32FFF902"/>
    <w:multiLevelType w:val="hybridMultilevel"/>
    <w:lvl w:ilvl="0">
      <w:lvlJc w:val="left"/>
      <w:lvlText w:val="%1)"/>
      <w:numFmt w:val="decimal"/>
      <w:start w:val="3"/>
    </w:lvl>
  </w:abstractNum>
  <w:abstractNum w:abstractNumId="11">
    <w:nsid w:val="684A481A"/>
    <w:multiLevelType w:val="hybridMultilevel"/>
    <w:lvl w:ilvl="0">
      <w:lvlJc w:val="left"/>
      <w:lvlText w:val="(%1)"/>
      <w:numFmt w:val="decimal"/>
      <w:start w:val="3"/>
    </w:lvl>
  </w:abstractNum>
  <w:abstractNum w:abstractNumId="12">
    <w:nsid w:val="579478FE"/>
    <w:multiLevelType w:val="hybridMultilevel"/>
    <w:lvl w:ilvl="0">
      <w:lvlJc w:val="left"/>
      <w:lvlText w:val="(%1)"/>
      <w:numFmt w:val="decimal"/>
      <w:start w:val="4"/>
    </w:lvl>
  </w:abstractNum>
  <w:abstractNum w:abstractNumId="13">
    <w:nsid w:val="749ABB43"/>
    <w:multiLevelType w:val="hybridMultilevel"/>
    <w:lvl w:ilvl="0">
      <w:lvlJc w:val="left"/>
      <w:lvlText w:val="(%1)"/>
      <w:numFmt w:val="decimal"/>
      <w:start w:val="5"/>
    </w:lvl>
  </w:abstractNum>
  <w:abstractNum w:abstractNumId="14">
    <w:nsid w:val="3DC240FB"/>
    <w:multiLevelType w:val="hybridMultilevel"/>
    <w:lvl w:ilvl="0">
      <w:lvlJc w:val="left"/>
      <w:lvlText w:val="(%1)"/>
      <w:numFmt w:val="decimal"/>
      <w:start w:val="6"/>
    </w:lvl>
  </w:abstractNum>
  <w:abstractNum w:abstractNumId="15">
    <w:nsid w:val="1BA026FA"/>
    <w:multiLevelType w:val="hybridMultilevel"/>
    <w:lvl w:ilvl="0">
      <w:lvlJc w:val="left"/>
      <w:lvlText w:val="%1)"/>
      <w:numFmt w:val="decimal"/>
      <w:start w:val="1"/>
    </w:lvl>
  </w:abstractNum>
  <w:abstractNum w:abstractNumId="16">
    <w:nsid w:val="79A1DEAA"/>
    <w:multiLevelType w:val="hybridMultilevel"/>
    <w:lvl w:ilvl="0">
      <w:lvlJc w:val="left"/>
      <w:lvlText w:val="%1)"/>
      <w:numFmt w:val="decimal"/>
      <w:start w:val="2"/>
    </w:lvl>
  </w:abstractNum>
  <w:abstractNum w:abstractNumId="17">
    <w:nsid w:val="75C6C33A"/>
    <w:multiLevelType w:val="hybridMultilevel"/>
    <w:lvl w:ilvl="0">
      <w:lvlJc w:val="left"/>
      <w:lvlText w:val="●"/>
      <w:numFmt w:val="bullet"/>
      <w:start w:val="1"/>
    </w:lvl>
  </w:abstractNum>
  <w:abstractNum w:abstractNumId="18">
    <w:nsid w:val="12E685FB"/>
    <w:multiLevelType w:val="hybridMultilevel"/>
    <w:lvl w:ilvl="0">
      <w:lvlJc w:val="left"/>
      <w:lvlText w:val="%1)"/>
      <w:numFmt w:val="decimal"/>
      <w:start w:val="3"/>
    </w:lvl>
  </w:abstractNum>
  <w:abstractNum w:abstractNumId="19">
    <w:nsid w:val="70C6A529"/>
    <w:multiLevelType w:val="hybridMultilevel"/>
    <w:lvl w:ilvl="0">
      <w:lvlJc w:val="left"/>
      <w:lvlText w:val="(%1)"/>
      <w:numFmt w:val="decimal"/>
      <w:start w:val="7"/>
    </w:lvl>
  </w:abstractNum>
  <w:abstractNum w:abstractNumId="20">
    <w:nsid w:val="520EEDD1"/>
    <w:multiLevelType w:val="hybridMultilevel"/>
    <w:lvl w:ilvl="0">
      <w:lvlJc w:val="left"/>
      <w:lvlText w:val="(%1)"/>
      <w:numFmt w:val="decimal"/>
      <w:start w:val="8"/>
    </w:lvl>
  </w:abstractNum>
  <w:abstractNum w:abstractNumId="21">
    <w:nsid w:val="374A3FE6"/>
    <w:multiLevelType w:val="hybridMultilevel"/>
    <w:lvl w:ilvl="0">
      <w:lvlJc w:val="left"/>
      <w:lvlText w:val="%1)"/>
      <w:numFmt w:val="decimal"/>
      <w:start w:val="1"/>
    </w:lvl>
  </w:abstractNum>
  <w:abstractNum w:abstractNumId="22">
    <w:nsid w:val="4F4EF005"/>
    <w:multiLevelType w:val="hybridMultilevel"/>
    <w:lvl w:ilvl="0">
      <w:lvlJc w:val="left"/>
      <w:lvlText w:val="%1)"/>
      <w:numFmt w:val="decimal"/>
      <w:start w:val="2"/>
    </w:lvl>
  </w:abstractNum>
  <w:abstractNum w:abstractNumId="23">
    <w:nsid w:val="23F9C13C"/>
    <w:multiLevelType w:val="hybridMultilevel"/>
    <w:lvl w:ilvl="0">
      <w:lvlJc w:val="left"/>
      <w:lvlText w:val="●"/>
      <w:numFmt w:val="bullet"/>
      <w:start w:val="1"/>
    </w:lvl>
  </w:abstractNum>
  <w:abstractNum w:abstractNumId="24">
    <w:nsid w:val="649BB77C"/>
    <w:multiLevelType w:val="hybridMultilevel"/>
    <w:lvl w:ilvl="0">
      <w:lvlJc w:val="left"/>
      <w:lvlText w:val="%1)"/>
      <w:numFmt w:val="decimal"/>
      <w:start w:val="3"/>
    </w:lvl>
  </w:abstractNum>
  <w:abstractNum w:abstractNumId="25">
    <w:nsid w:val="275AC794"/>
    <w:multiLevelType w:val="hybridMultilevel"/>
    <w:lvl w:ilvl="0">
      <w:lvlJc w:val="left"/>
      <w:lvlText w:val="(%1)"/>
      <w:numFmt w:val="decimal"/>
      <w:start w:val="9"/>
    </w:lvl>
  </w:abstractNum>
  <w:abstractNum w:abstractNumId="26">
    <w:nsid w:val="39386575"/>
    <w:multiLevelType w:val="hybridMultilevel"/>
    <w:lvl w:ilvl="0">
      <w:lvlJc w:val="left"/>
      <w:lvlText w:val="%1)"/>
      <w:numFmt w:val="decimal"/>
      <w:start w:val="1"/>
    </w:lvl>
  </w:abstractNum>
  <w:abstractNum w:abstractNumId="27">
    <w:nsid w:val="1CF10FD8"/>
    <w:multiLevelType w:val="hybridMultilevel"/>
    <w:lvl w:ilvl="0">
      <w:lvlJc w:val="left"/>
      <w:lvlText w:val="%1)"/>
      <w:numFmt w:val="decimal"/>
      <w:start w:val="2"/>
    </w:lvl>
  </w:abstractNum>
  <w:abstractNum w:abstractNumId="28">
    <w:nsid w:val="180115BE"/>
    <w:multiLevelType w:val="hybridMultilevel"/>
    <w:lvl w:ilvl="0">
      <w:lvlJc w:val="left"/>
      <w:lvlText w:val="%1)"/>
      <w:numFmt w:val="decimal"/>
      <w:start w:val="3"/>
    </w:lvl>
  </w:abstractNum>
  <w:abstractNum w:abstractNumId="29">
    <w:nsid w:val="235BA861"/>
    <w:multiLevelType w:val="hybridMultilevel"/>
    <w:lvl w:ilvl="0">
      <w:lvlJc w:val="left"/>
      <w:lvlText w:val="%1)"/>
      <w:numFmt w:val="decimal"/>
      <w:start w:val="4"/>
    </w:lvl>
  </w:abstractNum>
  <w:abstractNum w:abstractNumId="30">
    <w:nsid w:val="47398C89"/>
    <w:multiLevelType w:val="hybridMultilevel"/>
    <w:lvl w:ilvl="0">
      <w:lvlJc w:val="left"/>
      <w:lvlText w:val="%1)"/>
      <w:numFmt w:val="decimal"/>
      <w:start w:val="1"/>
    </w:lvl>
  </w:abstractNum>
  <w:abstractNum w:abstractNumId="31">
    <w:nsid w:val="354FE9F9"/>
    <w:multiLevelType w:val="hybridMultilevel"/>
    <w:lvl w:ilvl="0">
      <w:lvlJc w:val="left"/>
      <w:lvlText w:val="●"/>
      <w:numFmt w:val="bullet"/>
      <w:start w:val="1"/>
    </w:lvl>
  </w:abstractNum>
  <w:abstractNum w:abstractNumId="32">
    <w:nsid w:val="15B5AF5C"/>
    <w:multiLevelType w:val="hybridMultilevel"/>
    <w:lvl w:ilvl="0">
      <w:lvlJc w:val="left"/>
      <w:lvlText w:val="%1)"/>
      <w:numFmt w:val="decimal"/>
      <w:start w:val="2"/>
    </w:lvl>
  </w:abstractNum>
  <w:abstractNum w:abstractNumId="33">
    <w:nsid w:val="741226BB"/>
    <w:multiLevelType w:val="hybridMultilevel"/>
    <w:lvl w:ilvl="0">
      <w:lvlJc w:val="left"/>
      <w:lvlText w:val="①"/>
      <w:numFmt w:val="bullet"/>
      <w:start w:val="1"/>
    </w:lvl>
  </w:abstractNum>
  <w:abstractNum w:abstractNumId="34">
    <w:nsid w:val="D34B6A8"/>
    <w:multiLevelType w:val="hybridMultilevel"/>
    <w:lvl w:ilvl="0">
      <w:lvlJc w:val="left"/>
      <w:lvlText w:val="-"/>
      <w:numFmt w:val="bullet"/>
      <w:start w:val="1"/>
    </w:lvl>
  </w:abstractNum>
  <w:abstractNum w:abstractNumId="35">
    <w:nsid w:val="10233C99"/>
    <w:multiLevelType w:val="hybridMultilevel"/>
    <w:lvl w:ilvl="0">
      <w:lvlJc w:val="left"/>
      <w:lvlText w:val="-"/>
      <w:numFmt w:val="bullet"/>
      <w:start w:val="1"/>
    </w:lvl>
  </w:abstractNum>
  <w:abstractNum w:abstractNumId="36">
    <w:nsid w:val="3F6AB60F"/>
    <w:multiLevelType w:val="hybridMultilevel"/>
    <w:lvl w:ilvl="0">
      <w:lvlJc w:val="left"/>
      <w:lvlText w:val="-"/>
      <w:numFmt w:val="bullet"/>
      <w:start w:val="1"/>
    </w:lvl>
  </w:abstractNum>
  <w:abstractNum w:abstractNumId="37">
    <w:nsid w:val="61574095"/>
    <w:multiLevelType w:val="hybridMultilevel"/>
    <w:lvl w:ilvl="0">
      <w:lvlJc w:val="left"/>
      <w:lvlText w:val="②"/>
      <w:numFmt w:val="bullet"/>
      <w:start w:val="1"/>
    </w:lvl>
  </w:abstractNum>
  <w:abstractNum w:abstractNumId="38">
    <w:nsid w:val="7E0C57B1"/>
    <w:multiLevelType w:val="hybridMultilevel"/>
    <w:lvl w:ilvl="0">
      <w:lvlJc w:val="left"/>
      <w:lvlText w:val="%1)"/>
      <w:numFmt w:val="decimal"/>
      <w:start w:val="3"/>
    </w:lvl>
  </w:abstractNum>
  <w:abstractNum w:abstractNumId="39">
    <w:nsid w:val="77AE35EB"/>
    <w:multiLevelType w:val="hybridMultilevel"/>
    <w:lvl w:ilvl="0">
      <w:lvlJc w:val="left"/>
      <w:lvlText w:val="%1)"/>
      <w:numFmt w:val="decimal"/>
      <w:start w:val="4"/>
    </w:lvl>
  </w:abstractNum>
  <w:abstractNum w:abstractNumId="40">
    <w:nsid w:val="579BE4F1"/>
    <w:multiLevelType w:val="hybridMultilevel"/>
    <w:lvl w:ilvl="0">
      <w:lvlJc w:val="left"/>
      <w:lvlText w:val="%1)"/>
      <w:numFmt w:val="decimal"/>
      <w:start w:val="5"/>
    </w:lvl>
  </w:abstractNum>
  <w:abstractNum w:abstractNumId="41">
    <w:nsid w:val="310C50B3"/>
    <w:multiLevelType w:val="hybridMultilevel"/>
    <w:lvl w:ilvl="0">
      <w:lvlJc w:val="left"/>
      <w:lvlText w:val="%1)"/>
      <w:numFmt w:val="decimal"/>
      <w:start w:val="1"/>
    </w:lvl>
  </w:abstractNum>
  <w:abstractNum w:abstractNumId="42">
    <w:nsid w:val="5FF87E05"/>
    <w:multiLevelType w:val="hybridMultilevel"/>
    <w:lvl w:ilvl="0">
      <w:lvlJc w:val="left"/>
      <w:lvlText w:val="%1)"/>
      <w:numFmt w:val="decimal"/>
      <w:start w:val="2"/>
    </w:lvl>
  </w:abstractNum>
  <w:abstractNum w:abstractNumId="43">
    <w:nsid w:val="2F305DEF"/>
    <w:multiLevelType w:val="hybridMultilevel"/>
    <w:lvl w:ilvl="0">
      <w:lvlJc w:val="left"/>
      <w:lvlText w:val="●"/>
      <w:numFmt w:val="bullet"/>
      <w:start w:val="1"/>
    </w:lvl>
  </w:abstractNum>
  <w:abstractNum w:abstractNumId="44">
    <w:nsid w:val="25A70BF7"/>
    <w:multiLevelType w:val="hybridMultilevel"/>
    <w:lvl w:ilvl="0">
      <w:lvlJc w:val="left"/>
      <w:lvlText w:val="●"/>
      <w:numFmt w:val="bullet"/>
      <w:start w:val="1"/>
    </w:lvl>
  </w:abstractNum>
  <w:abstractNum w:abstractNumId="45">
    <w:nsid w:val="1DBABF00"/>
    <w:multiLevelType w:val="hybridMultilevel"/>
    <w:lvl w:ilvl="0">
      <w:lvlJc w:val="left"/>
      <w:lvlText w:val="(%1)"/>
      <w:numFmt w:val="decimal"/>
      <w:start w:val="1"/>
    </w:lvl>
  </w:abstractNum>
  <w:abstractNum w:abstractNumId="46">
    <w:nsid w:val="4AD084E9"/>
    <w:multiLevelType w:val="hybridMultilevel"/>
    <w:lvl w:ilvl="0">
      <w:lvlJc w:val="left"/>
      <w:lvlText w:val="(%1)"/>
      <w:numFmt w:val="decimal"/>
      <w:start w:val="2"/>
    </w:lvl>
  </w:abstractNum>
  <w:abstractNum w:abstractNumId="47">
    <w:nsid w:val="1F48EAA1"/>
    <w:multiLevelType w:val="hybridMultilevel"/>
    <w:lvl w:ilvl="0">
      <w:lvlJc w:val="left"/>
      <w:lvlText w:val="(%1)"/>
      <w:numFmt w:val="decimal"/>
      <w:start w:val="3"/>
    </w:lvl>
  </w:abstractNum>
  <w:abstractNum w:abstractNumId="48">
    <w:nsid w:val="1381823A"/>
    <w:multiLevelType w:val="hybridMultilevel"/>
    <w:lvl w:ilvl="0">
      <w:lvlJc w:val="left"/>
      <w:lvlText w:val="(*)"/>
      <w:numFmt w:val="bullet"/>
      <w:start w:val="1"/>
    </w:lvl>
  </w:abstractNum>
  <w:abstractNum w:abstractNumId="49">
    <w:nsid w:val="5DB70AE5"/>
    <w:multiLevelType w:val="hybridMultilevel"/>
    <w:lvl w:ilvl="0">
      <w:lvlJc w:val="left"/>
      <w:lvlText w:val="%1."/>
      <w:numFmt w:val="lowerRoman"/>
      <w:start w:val="1"/>
    </w:lvl>
  </w:abstractNum>
  <w:abstractNum w:abstractNumId="50">
    <w:nsid w:val="100F8FCA"/>
    <w:multiLevelType w:val="hybridMultilevel"/>
    <w:lvl w:ilvl="0">
      <w:lvlJc w:val="left"/>
      <w:lvlText w:val="%1."/>
      <w:numFmt w:val="lowerRoman"/>
      <w:start w:val="3"/>
    </w:lvl>
  </w:abstractNum>
  <w:abstractNum w:abstractNumId="51">
    <w:nsid w:val="6590700B"/>
    <w:multiLevelType w:val="hybridMultilevel"/>
    <w:lvl w:ilvl="0">
      <w:lvlJc w:val="left"/>
      <w:lvlText w:val="(*)"/>
      <w:numFmt w:val="bullet"/>
      <w:start w:val="1"/>
    </w:lvl>
  </w:abstractNum>
  <w:abstractNum w:abstractNumId="52">
    <w:nsid w:val="15014ACB"/>
    <w:multiLevelType w:val="hybridMultilevel"/>
    <w:lvl w:ilvl="0">
      <w:lvlJc w:val="left"/>
      <w:lvlText w:val="%1."/>
      <w:numFmt w:val="decimal"/>
      <w:start w:val="10"/>
    </w:lvl>
  </w:abstractNum>
  <w:abstractNum w:abstractNumId="53">
    <w:nsid w:val="5F5E7FD0"/>
    <w:multiLevelType w:val="hybridMultilevel"/>
    <w:lvl w:ilvl="0">
      <w:lvlJc w:val="left"/>
      <w:lvlText w:val="%1."/>
      <w:numFmt w:val="upperLetter"/>
      <w:start w:val="3"/>
    </w:lvl>
  </w:abstractNum>
  <w:abstractNum w:abstractNumId="54">
    <w:nsid w:val="98A3148"/>
    <w:multiLevelType w:val="hybridMultilevel"/>
    <w:lvl w:ilvl="0">
      <w:lvlJc w:val="left"/>
      <w:lvlText w:val="(*)"/>
      <w:numFmt w:val="bullet"/>
      <w:start w:val="1"/>
    </w:lvl>
  </w:abstractNum>
  <w:abstractNum w:abstractNumId="55">
    <w:nsid w:val="799D0247"/>
    <w:multiLevelType w:val="hybridMultilevel"/>
    <w:lvl w:ilvl="0">
      <w:lvlJc w:val="left"/>
      <w:lvlText w:val="%1."/>
      <w:numFmt w:val="decimal"/>
      <w:start w:val="15"/>
    </w:lvl>
  </w:abstractNum>
  <w:abstractNum w:abstractNumId="56">
    <w:nsid w:val="6B94764"/>
    <w:multiLevelType w:val="hybridMultilevel"/>
    <w:lvl w:ilvl="0">
      <w:lvlJc w:val="left"/>
      <w:lvlText w:val="(*)"/>
      <w:numFmt w:val="bullet"/>
      <w:start w:val="1"/>
    </w:lvl>
  </w:abstractNum>
  <w:abstractNum w:abstractNumId="57">
    <w:nsid w:val="42C296BD"/>
    <w:multiLevelType w:val="hybridMultilevel"/>
    <w:lvl w:ilvl="0">
      <w:lvlJc w:val="left"/>
      <w:lvlText w:val="%1."/>
      <w:numFmt w:val="upperLetter"/>
      <w:start w:val="6"/>
    </w:lvl>
  </w:abstractNum>
  <w:abstractNum w:abstractNumId="58">
    <w:nsid w:val="168E121F"/>
    <w:multiLevelType w:val="hybridMultilevel"/>
    <w:lvl w:ilvl="0">
      <w:lvlJc w:val="left"/>
      <w:lvlText w:val="₩"/>
      <w:numFmt w:val="bullet"/>
      <w:start w:val="1"/>
    </w:lvl>
  </w:abstractNum>
  <w:abstractNum w:abstractNumId="59">
    <w:nsid w:val="1EBA5D23"/>
    <w:multiLevelType w:val="hybridMultilevel"/>
    <w:lvl w:ilvl="0">
      <w:lvlJc w:val="left"/>
      <w:lvlText w:val="%1."/>
      <w:numFmt w:val="decimal"/>
      <w:start w:val="17"/>
    </w:lvl>
  </w:abstractNum>
  <w:abstractNum w:abstractNumId="60">
    <w:nsid w:val="661E3F1E"/>
    <w:multiLevelType w:val="hybridMultilevel"/>
    <w:lvl w:ilvl="0">
      <w:lvlJc w:val="left"/>
      <w:lvlText w:val="%1."/>
      <w:numFmt w:val="lowerRoman"/>
      <w:start w:val="1"/>
    </w:lvl>
  </w:abstractNum>
  <w:abstractNum w:abstractNumId="61">
    <w:nsid w:val="5DC79EA8"/>
    <w:multiLevelType w:val="hybridMultilevel"/>
    <w:lvl w:ilvl="0">
      <w:lvlJc w:val="left"/>
      <w:lvlText w:val="%1."/>
      <w:numFmt w:val="lowerRoman"/>
      <w:start w:val="2"/>
    </w:lvl>
  </w:abstractNum>
  <w:abstractNum w:abstractNumId="62">
    <w:nsid w:val="540A471C"/>
    <w:multiLevelType w:val="hybridMultilevel"/>
    <w:lvl w:ilvl="0">
      <w:lvlJc w:val="left"/>
      <w:lvlText w:val="%1."/>
      <w:numFmt w:val="lowerRoman"/>
      <w:start w:val="5"/>
    </w:lvl>
  </w:abstractNum>
  <w:abstractNum w:abstractNumId="63">
    <w:nsid w:val="7BD3EE7B"/>
    <w:multiLevelType w:val="hybridMultilevel"/>
    <w:lvl w:ilvl="0">
      <w:lvlJc w:val="left"/>
      <w:lvlText w:val="₩"/>
      <w:numFmt w:val="bullet"/>
      <w:start w:val="1"/>
    </w:lvl>
  </w:abstractNum>
  <w:abstractNum w:abstractNumId="64">
    <w:nsid w:val="51D9C564"/>
    <w:multiLevelType w:val="hybridMultilevel"/>
    <w:lvl w:ilvl="0">
      <w:lvlJc w:val="left"/>
      <w:lvlText w:val="(*)"/>
      <w:numFmt w:val="bullet"/>
      <w:start w:val="1"/>
    </w:lvl>
  </w:abstractNum>
  <w:abstractNum w:abstractNumId="65">
    <w:nsid w:val="613EFDC5"/>
    <w:multiLevelType w:val="hybridMultilevel"/>
    <w:lvl w:ilvl="0">
      <w:lvlJc w:val="left"/>
      <w:lvlText w:val="₩"/>
      <w:numFmt w:val="bullet"/>
      <w:start w:val="1"/>
    </w:lvl>
  </w:abstractNum>
  <w:abstractNum w:abstractNumId="66">
    <w:nsid w:val="BF72B14"/>
    <w:multiLevelType w:val="hybridMultilevel"/>
    <w:lvl w:ilvl="0">
      <w:lvlJc w:val="left"/>
      <w:lvlText w:val="₩"/>
      <w:numFmt w:val="bullet"/>
      <w:start w:val="1"/>
    </w:lvl>
  </w:abstractNum>
  <w:abstractNum w:abstractNumId="67">
    <w:nsid w:val="11447B73"/>
    <w:multiLevelType w:val="hybridMultilevel"/>
    <w:lvl w:ilvl="0">
      <w:lvlJc w:val="left"/>
      <w:lvlText w:val="₩"/>
      <w:numFmt w:val="bullet"/>
      <w:start w:val="1"/>
    </w:lvl>
  </w:abstractNum>
  <w:abstractNum w:abstractNumId="68">
    <w:nsid w:val="42963E5A"/>
    <w:multiLevelType w:val="hybridMultilevel"/>
    <w:lvl w:ilvl="0">
      <w:lvlJc w:val="left"/>
      <w:lvlText w:val="(*)"/>
      <w:numFmt w:val="bullet"/>
      <w:start w:val="1"/>
    </w:lvl>
  </w:abstractNum>
  <w:abstractNum w:abstractNumId="69">
    <w:nsid w:val="A0382C5"/>
    <w:multiLevelType w:val="hybridMultilevel"/>
    <w:lvl w:ilvl="0">
      <w:lvlJc w:val="left"/>
      <w:lvlText w:val="%1."/>
      <w:numFmt w:val="lowerRoman"/>
      <w:start w:val="1"/>
    </w:lvl>
  </w:abstractNum>
  <w:abstractNum w:abstractNumId="70">
    <w:nsid w:val="8F2B15E"/>
    <w:multiLevelType w:val="hybridMultilevel"/>
    <w:lvl w:ilvl="0">
      <w:lvlJc w:val="left"/>
      <w:lvlText w:val="(*)"/>
      <w:numFmt w:val="bullet"/>
      <w:start w:val="1"/>
    </w:lvl>
  </w:abstractNum>
  <w:abstractNum w:abstractNumId="71">
    <w:nsid w:val="1A32234B"/>
    <w:multiLevelType w:val="hybridMultilevel"/>
    <w:lvl w:ilvl="0">
      <w:lvlJc w:val="left"/>
      <w:lvlText w:val="%1."/>
      <w:numFmt w:val="lowerRoman"/>
      <w:start w:val="1"/>
    </w:lvl>
  </w:abstractNum>
  <w:abstractNum w:abstractNumId="72">
    <w:nsid w:val="3B0FD379"/>
    <w:multiLevelType w:val="hybridMultilevel"/>
    <w:lvl w:ilvl="0">
      <w:lvlJc w:val="left"/>
      <w:lvlText w:val="%1."/>
      <w:numFmt w:val="upperLetter"/>
      <w:start w:val="4"/>
    </w:lvl>
  </w:abstractNum>
  <w:abstractNum w:abstractNumId="73">
    <w:nsid w:val="68EB2F63"/>
    <w:multiLevelType w:val="hybridMultilevel"/>
    <w:lvl w:ilvl="0">
      <w:lvlJc w:val="left"/>
      <w:lvlText w:val="%1."/>
      <w:numFmt w:val="upperLetter"/>
      <w:start w:val="6"/>
    </w:lvl>
  </w:abstractNum>
  <w:abstractNum w:abstractNumId="74">
    <w:nsid w:val="4962813B"/>
    <w:multiLevelType w:val="hybridMultilevel"/>
    <w:lvl w:ilvl="0">
      <w:lvlJc w:val="left"/>
      <w:lvlText w:val="%1."/>
      <w:numFmt w:val="upperLetter"/>
      <w:start w:val="1"/>
    </w:lvl>
  </w:abstractNum>
  <w:abstractNum w:abstractNumId="75">
    <w:nsid w:val="60B6DF70"/>
    <w:multiLevelType w:val="hybridMultilevel"/>
    <w:lvl w:ilvl="0">
      <w:lvlJc w:val="left"/>
      <w:lvlText w:val="%1."/>
      <w:numFmt w:val="lowerRoman"/>
      <w:start w:val="2"/>
    </w:lvl>
  </w:abstractNum>
  <w:abstractNum w:abstractNumId="76">
    <w:nsid w:val="6A5EE64"/>
    <w:multiLevelType w:val="hybridMultilevel"/>
    <w:lvl w:ilvl="0">
      <w:lvlJc w:val="left"/>
      <w:lvlText w:val="%1."/>
      <w:numFmt w:val="upperLetter"/>
      <w:start w:val="2"/>
    </w:lvl>
    <w:lvl w:ilvl="1">
      <w:lvlJc w:val="left"/>
      <w:lvlText w:val="%2."/>
      <w:numFmt w:val="lowerRoman"/>
      <w:start w:val="1"/>
    </w:lvl>
  </w:abstractNum>
  <w:abstractNum w:abstractNumId="77">
    <w:nsid w:val="14330624"/>
    <w:multiLevelType w:val="hybridMultilevel"/>
    <w:lvl w:ilvl="0">
      <w:lvlJc w:val="left"/>
      <w:lvlText w:val="%1"/>
      <w:numFmt w:val="upperLetter"/>
      <w:start w:val="1"/>
    </w:lvl>
    <w:lvl w:ilvl="1">
      <w:lvlJc w:val="left"/>
      <w:lvlText w:val="%2."/>
      <w:numFmt w:val="lowerRoman"/>
      <w:start w:val="4"/>
    </w:lvl>
  </w:abstractNum>
  <w:abstractNum w:abstractNumId="78">
    <w:nsid w:val="7FFFCA11"/>
    <w:multiLevelType w:val="hybridMultilevel"/>
    <w:lvl w:ilvl="0">
      <w:lvlJc w:val="left"/>
      <w:lvlText w:val="%1"/>
      <w:numFmt w:val="upperLetter"/>
      <w:start w:val="1"/>
    </w:lvl>
    <w:lvl w:ilvl="1">
      <w:lvlJc w:val="left"/>
      <w:lvlText w:val="%2."/>
      <w:numFmt w:val="lowerRoman"/>
      <w:start w:val="1"/>
    </w:lvl>
  </w:abstractNum>
  <w:abstractNum w:abstractNumId="79">
    <w:nsid w:val="1A27709E"/>
    <w:multiLevelType w:val="hybridMultilevel"/>
    <w:lvl w:ilvl="0">
      <w:lvlJc w:val="left"/>
      <w:lvlText w:val="%1."/>
      <w:numFmt w:val="lowerRoman"/>
      <w:start w:val="1"/>
    </w:lvl>
  </w:abstractNum>
  <w:abstractNum w:abstractNumId="80">
    <w:nsid w:val="71EA1109"/>
    <w:multiLevelType w:val="hybridMultilevel"/>
    <w:lvl w:ilvl="0">
      <w:lvlJc w:val="left"/>
      <w:lvlText w:val="%1."/>
      <w:numFmt w:val="decimal"/>
      <w:start w:val="37"/>
    </w:lvl>
  </w:abstractNum>
  <w:abstractNum w:abstractNumId="81">
    <w:nsid w:val="100F59DC"/>
    <w:multiLevelType w:val="hybridMultilevel"/>
    <w:lvl w:ilvl="0">
      <w:lvlJc w:val="left"/>
      <w:lvlText w:val="(*)"/>
      <w:numFmt w:val="bullet"/>
      <w:start w:val="1"/>
    </w:lvl>
  </w:abstractNum>
  <w:abstractNum w:abstractNumId="82">
    <w:nsid w:val="7FB7E0AA"/>
    <w:multiLevelType w:val="hybridMultilevel"/>
    <w:lvl w:ilvl="0">
      <w:lvlJc w:val="left"/>
      <w:lvlText w:val="(%1)"/>
      <w:numFmt w:val="lowerRoman"/>
      <w:start w:val="1"/>
    </w:lvl>
  </w:abstractNum>
  <w:abstractNum w:abstractNumId="83">
    <w:nsid w:val="6EB5BD4"/>
    <w:multiLevelType w:val="hybridMultilevel"/>
    <w:lvl w:ilvl="0">
      <w:lvlJc w:val="left"/>
      <w:lvlText w:val="(%1)"/>
      <w:numFmt w:val="lowerLetter"/>
      <w:start w:val="1"/>
    </w:lvl>
  </w:abstractNum>
  <w:abstractNum w:abstractNumId="84">
    <w:nsid w:val="6F6DD9AC"/>
    <w:multiLevelType w:val="hybridMultilevel"/>
    <w:lvl w:ilvl="0">
      <w:lvlJc w:val="left"/>
      <w:lvlText w:val="(%1)"/>
      <w:numFmt w:val="lowerLetter"/>
      <w:start w:val="1"/>
    </w:lvl>
  </w:abstractNum>
  <w:abstractNum w:abstractNumId="85">
    <w:nsid w:val="94211F2"/>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2026-05-22T15:13:16Z</dcterms:created>
  <dcterms:modified xsi:type="dcterms:W3CDTF">2026-05-22T15:13:16Z</dcterms:modified>
</cp:coreProperties>
</file>