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Maples Corporate Services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 Box 309, Ugland House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(703) 790-0717</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K Wave Media Announces Planned Retirement of 9,827,057 Ordinary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announced, on March 31, 2023, K Enter Holdings Inc. (“K Enter”), a wholly owned subsidiary of K Wave Media Ltd., a Cayman Islands exempted company (the “Company”), entered into that certain Equity Purchase Agreement (the “Solaire Purchase Agreement”), by and among K Enter and Pyeungho Choi, Youngjae Lee, Hyojeong Song, CY Holdings Co., Ltd., Soogyeong Park, Nayoung Hyun, Myeonghyeon Lee and Minsoo Kim (collectively, the “Solaire Sellers”), pursuant to which the Company purchased from the Solaire Sellers an aggregate of 95% of the equity interests (collectively, the “Solaire Equity”) in Solaire Partners LLC (“Solaire”). In consideration of the Solaire Equity, the Company issued to the Solaire Sellers an aggregate of 9,827,057 of the Company’s Ordinary Shares, par value $0.0001 per share (“Ordinary Shares”). Mr. Pyeungho Choi currently serves as Chairman of the Company’s Board of Directors.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as previously announced, on May 29, 2026, the Company entered into a Rescission and Termination Agreement (the “Rescission Agreement”), by and among the Company and Pyeungho Choi, Youngjae Lee, CY Holdings Co., Ltd., Soogyeong Park, Myeonghyeon Lee and Minsoo Kim (collectively, the “Rescission Sellers”), pursuant to which, among other things, the Company and the Rescission Sellers agreed to terminate and rescind the Solaire Purchase Agreement, the Company agreed to transfer the Solaire Equity to the Rescission Sellers within 60 days of the execution of the Rescission Agreement, and the Rescission Sellers agreed to transfer 9,827,057 Ordinary Shares (collectively, the “Returned Shares”) to the Company within 60 days of the execution of the Rescission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9, 2026, the Company issued a press release announcing that, upon receipt of the Returned Shares, the Company intends to retire and cancel the Returned Shares. A copy of the press release is filed as Exhibit 99.1 to this Current Report on Form 6-K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6-K Report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including those set forth in any subsequent filings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Copies of the Company’s filings with the SEC are available on the SEC’s website, www.sec.gov. The Company expressly disclaims any obligations or undertaking to release publicly any updates or revisions to any forward-looking statements to reflect any change in the Company’s expectations or any change in events, conditions or circumstances on which any statement is based.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9, 2026</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Wave Media Announces Planned Retirement of Approximately 9.8 Million Shares, Representing About 13% Reduction in Outstanding Shares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SEOUL, SOUTH KOREA and NEW YORK, NY – June 9, 2026 </w:t>
      </w:r>
      <w:r>
        <w:rPr>
          <w:rFonts w:ascii="Times New Roman" w:cs="Times New Roman" w:eastAsia="Times New Roman" w:hAnsi="Times New Roman"/>
          <w:sz w:val="18"/>
          <w:szCs w:val="18"/>
          <w:color w:val="auto"/>
        </w:rPr>
        <w:t>– K Wave Media Ltd. (“K Wave” or the “Company”), a Nasdaq-listed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AI infrastructure and related technologies, today announced that its Board of Directors has approved the planned retirement and cancellation of approximately 9.8 million ordinary shares expected to be returned to the Company by the end of July 2026.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planned share retirement is expected to reduce the Company’s currently outstanding ordinary shares by approximately 13% and is related to the rescission and termination agreement entered into on May 29, 2026 in connection with the previously announced KWM-Solaire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completion of the share return, the Company intends to formally retire and cancel the shares in accordance with applicable law and corporate procedures.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planned reduction in outstanding shares reflects the Company’s ongoing efforts to streamline its corporate structure as it advances its strategic transition toward AI infrastructure investments, including data centers, compute resources, and AI-related technologies.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provide additional updates regarding the share retirement process and related corporate developments as appropriate.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 Wave Media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KWM is a Nasdaq-listed company undergoing a strategic transformation toward investments in AI projects, including data centers, compute resources, and AI-related technologies. Subject to shareholder approval at the Company’s upcoming annual meeting, scheduled to occur on July 10, 2026, KWM intends to rebrand under a new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 looking.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regarding estimates and forecasts of other performance metrics and projections of market opportunity. These statements are based on various assumptions, whether or not identified in this communication, and on the current expectations of KWM’s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may differ from assumptions. Many actual events and circumstances are beyond the control of KWM. Some important risks that could cause actual results to differ materially from those in any forward-looking statements include changes in domestic and foreign business, market, financial, political, and legal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risks materialize or KWM’s assumptions prove incorrect, actual results could differ materially from the results implied by these forward-looking statements. There may be additional risks that KWM does not presently know, or that KWM currently believes are immaterial, that could also cause actual results to differ from those contained in the forward-looking statements. In addition, forward-looking statements reflect KWM’s current expectations, plans, and forecasts of future events and views as of the date 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in this communication, which speak only as of the date they are made and are qualified in their entirety by reference to the cautionary statements herein and the risk factors of KWM described in KWM’s Annual Report on Form 20-F filed with the SEC on May 15, 2025, including those under the heading “Risk Factors” therein. KWM anticipates that subsequent events and developments may cause its assessments to change. However, while KWM may elect to update these forward-looking statements at some point in the future, KWM specifically disclaims any obligation to do so, except as required by law.</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should not be relied upon as representing KWM’s assessments as of any date subsequent to the date of this communication. Accordingly, undue reliance should not be placed upon the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color w:val="auto"/>
        </w:rPr>
        <w:t>info@kwavemedia.com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Public Relations: </w:t>
      </w:r>
      <w:r>
        <w:rPr>
          <w:rFonts w:ascii="Times New Roman" w:cs="Times New Roman" w:eastAsia="Times New Roman" w:hAnsi="Times New Roman"/>
          <w:sz w:val="18"/>
          <w:szCs w:val="18"/>
          <w:color w:val="auto"/>
        </w:rPr>
        <w:t>info@redroosterpr.com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2026-06-09T08:07:41Z</dcterms:created>
  <dcterms:modified xsi:type="dcterms:W3CDTF">2026-06-09T08:07:41Z</dcterms:modified>
</cp:coreProperties>
</file>